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645" w:rsidRDefault="008E4C23" w:rsidP="008E4C23">
      <w:pPr>
        <w:pStyle w:val="Heading1"/>
      </w:pPr>
      <w:r>
        <w:fldChar w:fldCharType="begin"/>
      </w:r>
      <w:r>
        <w:instrText xml:space="preserve"> MACROBUTTON NUMBERING </w:instrText>
      </w:r>
      <w:r>
        <w:fldChar w:fldCharType="begin"/>
      </w:r>
      <w:r>
        <w:instrText xml:space="preserve"> SEQ  cpara \h \r 0</w:instrText>
      </w:r>
      <w:r>
        <w:fldChar w:fldCharType="end"/>
      </w:r>
      <w:r>
        <w:fldChar w:fldCharType="begin"/>
      </w:r>
      <w:r>
        <w:instrText xml:space="preserve"> SEQ  ccount \h</w:instrText>
      </w:r>
      <w:r>
        <w:fldChar w:fldCharType="end"/>
      </w:r>
      <w:r>
        <w:fldChar w:fldCharType="end"/>
      </w:r>
      <w:r w:rsidR="000F6040">
        <w:t>Life Evaluation</w:t>
      </w:r>
    </w:p>
    <w:p w:rsidR="008E4C23" w:rsidRDefault="008E4C23" w:rsidP="008E4C23">
      <w:pPr>
        <w:pStyle w:val="Heading3"/>
      </w:pPr>
      <w:r>
        <w:t>Goal and target addressed</w:t>
      </w:r>
    </w:p>
    <w:p w:rsidR="008E4C23" w:rsidRDefault="008E4C23" w:rsidP="00A26046">
      <w:pPr>
        <w:pStyle w:val="BodyText"/>
      </w:pPr>
      <w:r w:rsidRPr="00A26046">
        <w:rPr>
          <w:i/>
        </w:rPr>
        <w:t>Goal</w:t>
      </w:r>
      <w:r w:rsidR="000F51CF">
        <w:rPr>
          <w:i/>
        </w:rPr>
        <w:t xml:space="preserve"> 17</w:t>
      </w:r>
      <w:r>
        <w:t>:</w:t>
      </w:r>
      <w:r w:rsidR="00A26046">
        <w:t xml:space="preserve"> </w:t>
      </w:r>
      <w:r w:rsidR="00A26046">
        <w:rPr>
          <w:shd w:val="clear" w:color="auto" w:fill="FFFFFF"/>
        </w:rPr>
        <w:t>Strengthen the means of implementation and revitalize the global partnership for sustainable development</w:t>
      </w:r>
    </w:p>
    <w:p w:rsidR="008E4C23" w:rsidRPr="008E4C23" w:rsidRDefault="008E4C23" w:rsidP="00A26046">
      <w:pPr>
        <w:pStyle w:val="BodyText"/>
      </w:pPr>
      <w:r w:rsidRPr="00A26046">
        <w:rPr>
          <w:i/>
        </w:rPr>
        <w:t>Target</w:t>
      </w:r>
      <w:r w:rsidR="000F51CF">
        <w:rPr>
          <w:i/>
        </w:rPr>
        <w:t xml:space="preserve"> 17.19</w:t>
      </w:r>
      <w:r>
        <w:t xml:space="preserve">: </w:t>
      </w:r>
      <w:r w:rsidR="00A26046">
        <w:t>b</w:t>
      </w:r>
      <w:r w:rsidR="00A26046">
        <w:rPr>
          <w:shd w:val="clear" w:color="auto" w:fill="FFFFFF"/>
        </w:rPr>
        <w:t>y 2030, build on existing initiatives to develop measurements of progress on sustainable development that complement GDP, and support statistical capacity building in developing countries</w:t>
      </w:r>
    </w:p>
    <w:p w:rsidR="008E4C23" w:rsidRDefault="008E4C23" w:rsidP="008E4C23">
      <w:pPr>
        <w:pStyle w:val="Heading3"/>
      </w:pPr>
      <w:r>
        <w:t>Definition and method of computation</w:t>
      </w:r>
    </w:p>
    <w:p w:rsidR="00923D9D" w:rsidRDefault="00923D9D" w:rsidP="00923D9D">
      <w:pPr>
        <w:pStyle w:val="BodyText"/>
        <w:rPr>
          <w:lang w:eastAsia="en-US"/>
        </w:rPr>
      </w:pPr>
      <w:r w:rsidRPr="00923D9D">
        <w:rPr>
          <w:i/>
          <w:lang w:eastAsia="en-US"/>
        </w:rPr>
        <w:t>Definition</w:t>
      </w:r>
      <w:r>
        <w:rPr>
          <w:lang w:eastAsia="en-US"/>
        </w:rPr>
        <w:t xml:space="preserve">. </w:t>
      </w:r>
      <w:r w:rsidR="000F6040">
        <w:rPr>
          <w:lang w:eastAsia="en-US"/>
        </w:rPr>
        <w:t>M</w:t>
      </w:r>
      <w:r w:rsidR="00A26046">
        <w:rPr>
          <w:lang w:eastAsia="en-US"/>
        </w:rPr>
        <w:t>ean country life evaluation score on a 0-10 scale</w:t>
      </w:r>
      <w:r w:rsidR="000F6040">
        <w:rPr>
          <w:lang w:eastAsia="en-US"/>
        </w:rPr>
        <w:t>.</w:t>
      </w:r>
    </w:p>
    <w:p w:rsidR="00FC78A1" w:rsidRPr="00923D9D" w:rsidRDefault="00923D9D" w:rsidP="00A26046">
      <w:pPr>
        <w:ind w:left="340"/>
      </w:pPr>
      <w:r>
        <w:rPr>
          <w:i/>
          <w:lang w:eastAsia="en-US"/>
        </w:rPr>
        <w:t xml:space="preserve">Method. </w:t>
      </w:r>
      <w:r w:rsidR="00A26046" w:rsidRPr="009678F4">
        <w:t xml:space="preserve">Data on </w:t>
      </w:r>
      <w:r w:rsidR="00A26046">
        <w:t>life evaluation</w:t>
      </w:r>
      <w:r w:rsidR="00A26046" w:rsidRPr="009678F4">
        <w:t xml:space="preserve"> cannot be obtained from administrative sources, and therefore requires sample survey data. The proposed indicator is </w:t>
      </w:r>
      <w:r w:rsidR="00A26046">
        <w:t>calculated as the mean numerical score</w:t>
      </w:r>
      <w:r w:rsidR="00A26046" w:rsidRPr="009678F4">
        <w:t xml:space="preserve"> weighted to represent the view of the total population.</w:t>
      </w:r>
    </w:p>
    <w:p w:rsidR="008E4C23" w:rsidRPr="00FC78A1" w:rsidRDefault="008E4C23" w:rsidP="00FC78A1">
      <w:pPr>
        <w:pStyle w:val="Heading3"/>
      </w:pPr>
      <w:r w:rsidRPr="00FC78A1">
        <w:t>Rationale and interpretation</w:t>
      </w:r>
    </w:p>
    <w:p w:rsidR="00D80772" w:rsidRDefault="00520C89" w:rsidP="004E5A8B">
      <w:pPr>
        <w:pStyle w:val="BodyText"/>
      </w:pPr>
      <w:r>
        <w:t>The Sustainable Development Goals are fundamentally concerned with achieving the "future we want", and thus with people's overall well-being</w:t>
      </w:r>
      <w:r w:rsidR="004E5A8B">
        <w:t>.</w:t>
      </w:r>
      <w:r w:rsidR="000F51CF">
        <w:t xml:space="preserve"> </w:t>
      </w:r>
      <w:r w:rsidR="00D80772">
        <w:t xml:space="preserve">Ultimately, the reason for caring about poverty, health, education and governance is because these are fundamental to human well-being. </w:t>
      </w:r>
      <w:r w:rsidR="000F51CF">
        <w:t xml:space="preserve">This requires going beyond existing objective measures (target 17.19) </w:t>
      </w:r>
      <w:r w:rsidR="00D80772">
        <w:t xml:space="preserve">Measures of life evaluation capture how people evaluate their own lives, and are thus an important complement to objective measures. In addition, measures of life evaluation capture people's assessment of the </w:t>
      </w:r>
      <w:r w:rsidR="00D80772" w:rsidRPr="00D80772">
        <w:rPr>
          <w:b/>
          <w:i/>
        </w:rPr>
        <w:t>net effect</w:t>
      </w:r>
      <w:r w:rsidR="00D80772">
        <w:t xml:space="preserve"> of all of the SDG targets on their well-being, filling a gap covered by no other indicator.</w:t>
      </w:r>
    </w:p>
    <w:p w:rsidR="008E4C23" w:rsidRPr="004E5A8B" w:rsidRDefault="008E4C23" w:rsidP="004E5A8B">
      <w:pPr>
        <w:pStyle w:val="Heading3"/>
      </w:pPr>
      <w:r w:rsidRPr="004E5A8B">
        <w:t>Sources and data collection</w:t>
      </w:r>
    </w:p>
    <w:p w:rsidR="008A5E4F" w:rsidRDefault="00505751" w:rsidP="008A5E4F">
      <w:pPr>
        <w:pStyle w:val="BodyText"/>
      </w:pPr>
      <w:r>
        <w:t>Official measures of life evaluation based on the OECD Guidelines on Measuring Subjective Well-being are currently available for 32 of 34 OECD countries as well as an increasing number of non-OECD countries. This number can be expected to rise over time now that a widely accepted international guideline is in place, and given that subjective well-being measures are relatively cheap to collect compared to other forms of official statistics.</w:t>
      </w:r>
    </w:p>
    <w:p w:rsidR="00505751" w:rsidRPr="00505751" w:rsidRDefault="00505751" w:rsidP="008A5E4F">
      <w:pPr>
        <w:pStyle w:val="BodyText"/>
      </w:pPr>
      <w:r>
        <w:t xml:space="preserve">For countries where official data is not yet available, the Gallup World Poll provides annual data on a measure of life evaluation (the Cantril Ladder) using the same 0-10 scale recommended by the OECD. Analysis of surveys using both the Cantil Ladder and the "satisfaction with life" measure recommended by the OECD suggests the two measures capture the same underlying construct and are broadly comparable. Data from the Gallup World Poll has formed the basis for cross-country comparisons in the </w:t>
      </w:r>
      <w:r w:rsidRPr="001D3FF5">
        <w:rPr>
          <w:i/>
        </w:rPr>
        <w:t>World Happiness Report</w:t>
      </w:r>
      <w:r>
        <w:t xml:space="preserve"> (2011, 2013, 2015).</w:t>
      </w:r>
    </w:p>
    <w:p w:rsidR="008E4C23" w:rsidRDefault="008E4C23" w:rsidP="008E4C23">
      <w:pPr>
        <w:pStyle w:val="Heading3"/>
      </w:pPr>
      <w:r>
        <w:lastRenderedPageBreak/>
        <w:t>Disaggregation</w:t>
      </w:r>
    </w:p>
    <w:p w:rsidR="00E77E20" w:rsidRDefault="00505751" w:rsidP="008A5E4F">
      <w:pPr>
        <w:pStyle w:val="BodyText"/>
      </w:pPr>
      <w:r>
        <w:t>Data on life evaluation can be disaggregated by any variables available in the source survey. The OECD guidelines recommend that results be disaggregated by</w:t>
      </w:r>
      <w:r w:rsidR="00E77E20">
        <w:t>:</w:t>
      </w:r>
    </w:p>
    <w:p w:rsidR="00E77E20" w:rsidRDefault="00E77E20" w:rsidP="00E77E20">
      <w:pPr>
        <w:pStyle w:val="ListBullet"/>
      </w:pPr>
      <w:r w:rsidRPr="00E77E20">
        <w:t>gender</w:t>
      </w:r>
    </w:p>
    <w:p w:rsidR="00E77E20" w:rsidRDefault="00E77E20" w:rsidP="00E77E20">
      <w:pPr>
        <w:pStyle w:val="ListBullet"/>
      </w:pPr>
      <w:r w:rsidRPr="00E77E20">
        <w:t xml:space="preserve">age </w:t>
      </w:r>
    </w:p>
    <w:p w:rsidR="00E77E20" w:rsidRDefault="00E77E20" w:rsidP="00E77E20">
      <w:pPr>
        <w:pStyle w:val="ListBullet"/>
      </w:pPr>
      <w:r w:rsidRPr="00E77E20">
        <w:t>education</w:t>
      </w:r>
      <w:r>
        <w:t>,</w:t>
      </w:r>
      <w:r w:rsidRPr="00E77E20">
        <w:t xml:space="preserve"> for 5 categories based on ISCED 97, i.e. no schooling, pre-primary/primary/lower secondary, upper-secondary/post-secondary, tertiary, missing educational data)</w:t>
      </w:r>
      <w:r>
        <w:t>;</w:t>
      </w:r>
      <w:r w:rsidRPr="00E77E20">
        <w:t xml:space="preserve"> and </w:t>
      </w:r>
    </w:p>
    <w:p w:rsidR="008A5E4F" w:rsidRDefault="00505751" w:rsidP="00E77E20">
      <w:pPr>
        <w:pStyle w:val="ListBullet"/>
      </w:pPr>
      <w:r>
        <w:t>household income</w:t>
      </w:r>
    </w:p>
    <w:p w:rsidR="00505751" w:rsidRPr="00505751" w:rsidRDefault="00505751" w:rsidP="00E77E20">
      <w:pPr>
        <w:pStyle w:val="ListBullet"/>
      </w:pPr>
      <w:r>
        <w:t>labour force status</w:t>
      </w:r>
    </w:p>
    <w:p w:rsidR="008E4C23" w:rsidRDefault="008E4C23" w:rsidP="008E4C23">
      <w:pPr>
        <w:pStyle w:val="Heading3"/>
      </w:pPr>
      <w:r>
        <w:t>Comments and limitations</w:t>
      </w:r>
    </w:p>
    <w:p w:rsidR="00D60065" w:rsidRDefault="00D80772" w:rsidP="008A5E4F">
      <w:pPr>
        <w:pStyle w:val="BodyText"/>
      </w:pPr>
      <w:r w:rsidRPr="00D80772">
        <w:t>In the past two decades, however, an increasing body of evidence has shown that subjective well-being can be measured in surveys, that such measures are valid and reliable, and that they can inform policy making.</w:t>
      </w:r>
      <w:r>
        <w:t xml:space="preserve"> </w:t>
      </w:r>
      <w:r w:rsidR="00520C89">
        <w:t>Two concerns are typically raised with respect to the use of measures of subjective well-being such as that proposed here. The first is the worry that the measure might be contaminated by irrelevant factors such as the weather or the respondent's experiences in the period just before they were interviewed. With an extensive literature based on high quality data from both unofficial and official sources, it is now known that this risk is not significant. While such issues do introduce an element of noise into the data, they do not significantly bias results.</w:t>
      </w:r>
    </w:p>
    <w:p w:rsidR="00520C89" w:rsidRPr="00520C89" w:rsidRDefault="00520C89" w:rsidP="008A5E4F">
      <w:pPr>
        <w:pStyle w:val="BodyText"/>
      </w:pPr>
      <w:r>
        <w:t>A second concern is that there might be large cultural differences in how different societies respond to questions on subjective well-being, effectively making cross-country comparisons meaningless. This is a more significant source of concern than worries about the weather as it is very difficult to examine empirically. However, the fact that 74% of cross country variance in life evaluation is explained by factors typically thought to drive well-being (Helliwell et. al., 2015) suggests that cultural response bias can, at most, have only a limited impact measured subjective well-being. While some caution in interpreting small differences is warranted, cross-country comparisons should be considered meaningful.</w:t>
      </w:r>
    </w:p>
    <w:p w:rsidR="008E4C23" w:rsidRDefault="008E4C23" w:rsidP="008E4C23">
      <w:pPr>
        <w:pStyle w:val="Heading3"/>
      </w:pPr>
      <w:r>
        <w:t>Gender equality issues</w:t>
      </w:r>
    </w:p>
    <w:p w:rsidR="008A5E4F" w:rsidRPr="008A5E4F" w:rsidRDefault="00D60065" w:rsidP="008A5E4F">
      <w:pPr>
        <w:pStyle w:val="BodyText"/>
      </w:pPr>
      <w:r>
        <w:t xml:space="preserve">The data being collected </w:t>
      </w:r>
      <w:r w:rsidR="00167A21">
        <w:t xml:space="preserve">will </w:t>
      </w:r>
      <w:r>
        <w:t>separately identify man and women of different ages.</w:t>
      </w:r>
    </w:p>
    <w:p w:rsidR="008E4C23" w:rsidRPr="00167A21" w:rsidRDefault="008E4C23" w:rsidP="008E4C23">
      <w:pPr>
        <w:pStyle w:val="Heading3"/>
      </w:pPr>
      <w:r w:rsidRPr="00167A21">
        <w:t>Data for global and regional monitoring</w:t>
      </w:r>
    </w:p>
    <w:p w:rsidR="008A5E4F" w:rsidRDefault="004E5A8B" w:rsidP="008A5E4F">
      <w:pPr>
        <w:pStyle w:val="BodyText"/>
      </w:pPr>
      <w:r>
        <w:t>Estimates based on data produced by national statistical agencies are currently only available for developed countries (32 of 34 OECD countries) and a smaller number of other countries</w:t>
      </w:r>
      <w:r w:rsidR="00D60065">
        <w:t>.</w:t>
      </w:r>
      <w:r>
        <w:t xml:space="preserve"> Gaps in the coverage can be provided from the Gallup World Poll, which produces broadly comparable data.</w:t>
      </w:r>
    </w:p>
    <w:p w:rsidR="004E5A8B" w:rsidRPr="004E5A8B" w:rsidRDefault="004E5A8B" w:rsidP="008A5E4F">
      <w:pPr>
        <w:pStyle w:val="BodyText"/>
      </w:pPr>
      <w:r>
        <w:t>Information is available for regional monitoring where the data is sourced from national statistical agencies, but this sample sizes in the Gallup World Poll are too small to allow for regional estimates.</w:t>
      </w:r>
    </w:p>
    <w:p w:rsidR="008E4C23" w:rsidRDefault="008E4C23" w:rsidP="008E4C23">
      <w:pPr>
        <w:pStyle w:val="Heading3"/>
      </w:pPr>
      <w:r>
        <w:t>Supplementary information</w:t>
      </w:r>
    </w:p>
    <w:p w:rsidR="008A5E4F" w:rsidRPr="008A5E4F" w:rsidRDefault="008A5E4F" w:rsidP="008A5E4F">
      <w:pPr>
        <w:pStyle w:val="BodyText"/>
      </w:pPr>
    </w:p>
    <w:p w:rsidR="008E4C23" w:rsidRDefault="008E4C23" w:rsidP="008E4C23">
      <w:pPr>
        <w:pStyle w:val="Heading3"/>
      </w:pPr>
      <w:r>
        <w:lastRenderedPageBreak/>
        <w:t>References</w:t>
      </w:r>
    </w:p>
    <w:p w:rsidR="008A5E4F" w:rsidRDefault="00D60065" w:rsidP="008A5E4F">
      <w:pPr>
        <w:pStyle w:val="BodyText"/>
      </w:pPr>
      <w:r>
        <w:t xml:space="preserve">OECD (2013), </w:t>
      </w:r>
      <w:r w:rsidR="004E5A8B">
        <w:rPr>
          <w:i/>
        </w:rPr>
        <w:t>Guidelines on Measuring Subjective Well-being</w:t>
      </w:r>
      <w:r>
        <w:rPr>
          <w:i/>
        </w:rPr>
        <w:t xml:space="preserve">, </w:t>
      </w:r>
      <w:r>
        <w:t>OECD Publishing, Paris.</w:t>
      </w:r>
    </w:p>
    <w:p w:rsidR="00D60065" w:rsidRDefault="004E5A8B" w:rsidP="008A5E4F">
      <w:pPr>
        <w:pStyle w:val="BodyText"/>
      </w:pPr>
      <w:r>
        <w:t>Helliwell, J, R. Layard, J. Sachs</w:t>
      </w:r>
      <w:r w:rsidR="00D60065">
        <w:t xml:space="preserve"> (</w:t>
      </w:r>
      <w:r w:rsidR="00376CC1">
        <w:t>20</w:t>
      </w:r>
      <w:r>
        <w:t>15</w:t>
      </w:r>
      <w:r w:rsidR="00D60065">
        <w:t>),</w:t>
      </w:r>
      <w:r w:rsidR="00376CC1">
        <w:t xml:space="preserve"> </w:t>
      </w:r>
      <w:r>
        <w:rPr>
          <w:i/>
        </w:rPr>
        <w:t>World Happiness Report</w:t>
      </w:r>
      <w:r w:rsidR="00376CC1">
        <w:rPr>
          <w:i/>
        </w:rPr>
        <w:t xml:space="preserve">, </w:t>
      </w:r>
      <w:r>
        <w:t>Sustainable Development Solutions Network, New york</w:t>
      </w:r>
      <w:r w:rsidR="00376CC1">
        <w:t>.</w:t>
      </w:r>
      <w:r w:rsidR="00D60065">
        <w:t xml:space="preserve"> </w:t>
      </w:r>
    </w:p>
    <w:p w:rsidR="008B2E7D" w:rsidRDefault="008B2E7D" w:rsidP="008A5E4F">
      <w:pPr>
        <w:pStyle w:val="BodyText"/>
      </w:pPr>
    </w:p>
    <w:p w:rsidR="008B2E7D" w:rsidRDefault="008B2E7D">
      <w:pPr>
        <w:tabs>
          <w:tab w:val="clear" w:pos="850"/>
          <w:tab w:val="clear" w:pos="1191"/>
          <w:tab w:val="clear" w:pos="1531"/>
        </w:tabs>
        <w:jc w:val="left"/>
      </w:pPr>
      <w:r>
        <w:br w:type="page"/>
      </w:r>
    </w:p>
    <w:p w:rsidR="008B2E7D" w:rsidRDefault="008B2E7D" w:rsidP="008B2E7D">
      <w:pPr>
        <w:pStyle w:val="Heading1"/>
      </w:pPr>
      <w:r>
        <w:lastRenderedPageBreak/>
        <w:t>Serious road traffic casualties</w:t>
      </w:r>
    </w:p>
    <w:p w:rsidR="008B2E7D" w:rsidRDefault="008B2E7D" w:rsidP="008B2E7D">
      <w:pPr>
        <w:pStyle w:val="Heading3"/>
      </w:pPr>
      <w:r>
        <w:t>Goal and targets addressed</w:t>
      </w:r>
    </w:p>
    <w:p w:rsidR="008B2E7D" w:rsidRDefault="008B2E7D" w:rsidP="008B2E7D">
      <w:pPr>
        <w:pStyle w:val="BodyText"/>
      </w:pPr>
      <w:r>
        <w:t>Goal 3: Ensure healthy lives and promote well-being for all at all ages</w:t>
      </w:r>
    </w:p>
    <w:p w:rsidR="008B2E7D" w:rsidRDefault="008B2E7D" w:rsidP="008B2E7D">
      <w:pPr>
        <w:pStyle w:val="BodyText"/>
      </w:pPr>
      <w:r>
        <w:t>Target 3.6: By 2020 halve global daths and injuries from road traffic accidents.</w:t>
      </w:r>
    </w:p>
    <w:p w:rsidR="008B2E7D" w:rsidRDefault="008B2E7D" w:rsidP="008B2E7D">
      <w:pPr>
        <w:pStyle w:val="Heading3"/>
      </w:pPr>
      <w:r>
        <w:t>Indicators</w:t>
      </w:r>
    </w:p>
    <w:p w:rsidR="008B2E7D" w:rsidRDefault="008B2E7D" w:rsidP="008B2E7D">
      <w:pPr>
        <w:pStyle w:val="BodyText"/>
      </w:pPr>
      <w:r>
        <w:t>Road fatalities, road crashes, hospitalised, serious injuries per inhabitant</w:t>
      </w:r>
    </w:p>
    <w:p w:rsidR="008B2E7D" w:rsidRDefault="008B2E7D" w:rsidP="008B2E7D">
      <w:pPr>
        <w:pStyle w:val="Heading3"/>
      </w:pPr>
      <w:r>
        <w:t>Definition and method of computation</w:t>
      </w:r>
    </w:p>
    <w:p w:rsidR="008B2E7D" w:rsidRDefault="008B2E7D" w:rsidP="008B2E7D">
      <w:pPr>
        <w:pStyle w:val="BodyText"/>
      </w:pPr>
      <w:r>
        <w:t>Data includes (i) numbers of road fatalities, road crashes, hospitalised, serious injuries, (ii) exposure (vehicle fleet, distance travelled, driving licences, helmet and seat belt wearing).  A main issue in this respect is to agree on a definition for a “serious injury” (see reference for a recent report addressing this issue).</w:t>
      </w:r>
    </w:p>
    <w:p w:rsidR="008B2E7D" w:rsidRDefault="008B2E7D" w:rsidP="008B2E7D">
      <w:pPr>
        <w:pStyle w:val="Heading3"/>
      </w:pPr>
      <w:r>
        <w:t>Rationale and interpretation</w:t>
      </w:r>
    </w:p>
    <w:p w:rsidR="008B2E7D" w:rsidRDefault="008B2E7D" w:rsidP="008B2E7D">
      <w:pPr>
        <w:pStyle w:val="BodyText"/>
      </w:pPr>
      <w:r>
        <w:t xml:space="preserve">    There has been growing concern in all countries to not only reduce the number of road deaths but also the number of people seriously injured.  From a public safety perspective it is therefore important to go beyond the number of fatal accidents in defining the indicator. </w:t>
      </w:r>
    </w:p>
    <w:p w:rsidR="008B2E7D" w:rsidRDefault="008B2E7D" w:rsidP="008B2E7D">
      <w:pPr>
        <w:pStyle w:val="Heading3"/>
      </w:pPr>
      <w:r>
        <w:t>Sources and data collection</w:t>
      </w:r>
    </w:p>
    <w:p w:rsidR="008B2E7D" w:rsidRDefault="008B2E7D" w:rsidP="008B2E7D">
      <w:pPr>
        <w:pStyle w:val="BodyText"/>
      </w:pPr>
      <w:r>
        <w:t xml:space="preserve">Data is compiled by The International Traffic Safety Data and Analysis Group (IRTAD), a permanent working group of the Joint Transport Research Centre of the OECD and the International Transport Forum. It is composed of road safety experts and statisticians from renowned safety research institutes, national road and transport administrations, international organisations, universities, automobile associations, the automobile industry, etc. The IRTAD database currently includes “validated” data from 32 countries (see below). Six additional countries also provide data and the validation process by the IRTAD Group is on-going. </w:t>
      </w:r>
    </w:p>
    <w:p w:rsidR="008B2E7D" w:rsidRDefault="008B2E7D" w:rsidP="008B2E7D">
      <w:pPr>
        <w:pStyle w:val="Heading3"/>
      </w:pPr>
      <w:r>
        <w:t>Disaggregation</w:t>
      </w:r>
    </w:p>
    <w:p w:rsidR="008B2E7D" w:rsidRDefault="008B2E7D" w:rsidP="008B2E7D">
      <w:pPr>
        <w:pStyle w:val="BodyText"/>
      </w:pPr>
      <w:r>
        <w:t xml:space="preserve">Break-down by age, gender, transport mode (cars, motorcycles, bicyles, pedestrians, others) </w:t>
      </w:r>
      <w:r>
        <w:br/>
        <w:t xml:space="preserve"> road type  (urban roads, rural roads, motorways) is available.</w:t>
      </w:r>
    </w:p>
    <w:p w:rsidR="008B2E7D" w:rsidRDefault="008B2E7D" w:rsidP="008B2E7D">
      <w:pPr>
        <w:pStyle w:val="Heading3"/>
      </w:pPr>
      <w:r>
        <w:t>Comments and limitations</w:t>
      </w:r>
    </w:p>
    <w:p w:rsidR="008B2E7D" w:rsidRDefault="008B2E7D" w:rsidP="008B2E7D">
      <w:pPr>
        <w:pStyle w:val="Heading3"/>
      </w:pPr>
      <w:r>
        <w:t>Gender equality issues</w:t>
      </w:r>
    </w:p>
    <w:p w:rsidR="008B2E7D" w:rsidRDefault="008B2E7D" w:rsidP="008B2E7D">
      <w:pPr>
        <w:pStyle w:val="BodyText"/>
      </w:pPr>
      <w:r>
        <w:t>Break-down by gender is available.</w:t>
      </w:r>
    </w:p>
    <w:p w:rsidR="008B2E7D" w:rsidRDefault="008B2E7D" w:rsidP="008B2E7D">
      <w:pPr>
        <w:pStyle w:val="Heading3"/>
      </w:pPr>
      <w:r>
        <w:t>Data for global and regional monitoring</w:t>
      </w:r>
    </w:p>
    <w:p w:rsidR="008B2E7D" w:rsidRDefault="008B2E7D" w:rsidP="008B2E7D">
      <w:pPr>
        <w:pStyle w:val="BodyText"/>
      </w:pPr>
      <w:r>
        <w:t xml:space="preserve">32 countries are covered in the IRTAD database: Argentina, Australia, Austria, Belgium, Canada, Chile, Czech Republic, Denmark, Finland, France, Germany, Greece, Hungary, Iceland, Ireland, Israel, </w:t>
      </w:r>
      <w:r>
        <w:lastRenderedPageBreak/>
        <w:t>Italy, Japan, Korea, Lithuania, Luxembourg, Netherlands, New Zealand, Norway, Poland, Portugal, Slovenia, Spain, Sweden, Switzerland, United Kingdom, United States.</w:t>
      </w:r>
    </w:p>
    <w:p w:rsidR="008B2E7D" w:rsidRDefault="008B2E7D" w:rsidP="008B2E7D">
      <w:pPr>
        <w:pStyle w:val="Heading3"/>
      </w:pPr>
      <w:r>
        <w:t>References</w:t>
      </w:r>
    </w:p>
    <w:p w:rsidR="008B2E7D" w:rsidRDefault="008B2E7D" w:rsidP="008B2E7D">
      <w:pPr>
        <w:pStyle w:val="BodyText"/>
      </w:pPr>
      <w:r>
        <w:t xml:space="preserve">ITF/OECD(2011); </w:t>
      </w:r>
      <w:hyperlink r:id="rId9" w:history="1">
        <w:r>
          <w:rPr>
            <w:rStyle w:val="Hyperlink"/>
            <w:i/>
          </w:rPr>
          <w:t>Reporting on Serious Road Traffic Casualties</w:t>
        </w:r>
      </w:hyperlink>
      <w:r>
        <w:t xml:space="preserve">, which recommends a common definition for a serious injury – based on the Maximum Abbreviated Injury Score of 3 or above – which  has now been adopted by the European Commission </w:t>
      </w:r>
    </w:p>
    <w:p w:rsidR="008B2E7D" w:rsidRDefault="008B2E7D">
      <w:pPr>
        <w:tabs>
          <w:tab w:val="clear" w:pos="850"/>
          <w:tab w:val="clear" w:pos="1191"/>
          <w:tab w:val="clear" w:pos="1531"/>
        </w:tabs>
        <w:jc w:val="left"/>
      </w:pPr>
      <w:r>
        <w:br w:type="page"/>
      </w:r>
    </w:p>
    <w:p w:rsidR="008B2E7D" w:rsidRPr="008B2E7D" w:rsidRDefault="008B2E7D" w:rsidP="008B2E7D">
      <w:pPr>
        <w:keepNext/>
        <w:spacing w:before="1200" w:after="720"/>
        <w:jc w:val="center"/>
        <w:outlineLvl w:val="0"/>
        <w:rPr>
          <w:b/>
          <w:bCs/>
          <w:caps/>
          <w:kern w:val="28"/>
        </w:rPr>
      </w:pPr>
      <w:r w:rsidRPr="008B2E7D">
        <w:rPr>
          <w:b/>
          <w:bCs/>
          <w:caps/>
          <w:kern w:val="28"/>
        </w:rPr>
        <w:lastRenderedPageBreak/>
        <w:t>out-of-pocket expenditure for health</w:t>
      </w:r>
    </w:p>
    <w:p w:rsidR="008B2E7D" w:rsidRPr="008B2E7D" w:rsidRDefault="008B2E7D" w:rsidP="008B2E7D">
      <w:pPr>
        <w:keepNext/>
        <w:spacing w:before="240" w:after="240"/>
        <w:outlineLvl w:val="2"/>
        <w:rPr>
          <w:b/>
          <w:bCs/>
          <w:i/>
          <w:iCs/>
        </w:rPr>
      </w:pPr>
      <w:r w:rsidRPr="008B2E7D">
        <w:rPr>
          <w:b/>
          <w:bCs/>
          <w:i/>
          <w:iCs/>
        </w:rPr>
        <w:t>Goal and targets addressed</w:t>
      </w:r>
    </w:p>
    <w:p w:rsidR="008B2E7D" w:rsidRPr="008B2E7D" w:rsidRDefault="008B2E7D" w:rsidP="008B2E7D">
      <w:pPr>
        <w:spacing w:after="240"/>
      </w:pPr>
      <w:r w:rsidRPr="008B2E7D">
        <w:t xml:space="preserve">Goal 3: </w:t>
      </w:r>
      <w:r w:rsidRPr="008B2E7D">
        <w:rPr>
          <w:bCs/>
        </w:rPr>
        <w:t>Ensure healthy lives and promote well-being for all at all ages</w:t>
      </w:r>
    </w:p>
    <w:p w:rsidR="008B2E7D" w:rsidRPr="008B2E7D" w:rsidRDefault="008B2E7D" w:rsidP="008B2E7D">
      <w:pPr>
        <w:rPr>
          <w:b/>
          <w:bCs/>
          <w:caps/>
        </w:rPr>
      </w:pPr>
      <w:r w:rsidRPr="008B2E7D">
        <w:t>3.8 Achieve universal health coverage, including financial protection, access to quality essential health-care services and access to safe, effective, quality and affordable essential medicines and vaccines for all</w:t>
      </w:r>
    </w:p>
    <w:p w:rsidR="008B2E7D" w:rsidRPr="008B2E7D" w:rsidRDefault="008B2E7D" w:rsidP="008B2E7D">
      <w:pPr>
        <w:spacing w:after="240"/>
      </w:pPr>
    </w:p>
    <w:p w:rsidR="008B2E7D" w:rsidRPr="008B2E7D" w:rsidRDefault="008B2E7D" w:rsidP="008B2E7D">
      <w:pPr>
        <w:rPr>
          <w:b/>
          <w:bCs/>
          <w:i/>
          <w:color w:val="000000"/>
          <w:bdr w:val="none" w:sz="0" w:space="0" w:color="auto" w:frame="1"/>
          <w:lang w:eastAsia="en-GB"/>
        </w:rPr>
      </w:pPr>
      <w:r w:rsidRPr="008B2E7D">
        <w:rPr>
          <w:b/>
          <w:bCs/>
          <w:i/>
          <w:color w:val="000000"/>
          <w:bdr w:val="none" w:sz="0" w:space="0" w:color="auto" w:frame="1"/>
          <w:lang w:eastAsia="en-GB"/>
        </w:rPr>
        <w:t xml:space="preserve">Indicator </w:t>
      </w:r>
    </w:p>
    <w:p w:rsidR="008B2E7D" w:rsidRPr="008B2E7D" w:rsidRDefault="008B2E7D" w:rsidP="008B2E7D">
      <w:pPr>
        <w:tabs>
          <w:tab w:val="clear" w:pos="1191"/>
          <w:tab w:val="clear" w:pos="1531"/>
          <w:tab w:val="num" w:pos="850"/>
        </w:tabs>
        <w:spacing w:after="240"/>
        <w:ind w:left="850" w:hanging="408"/>
      </w:pPr>
      <w:r w:rsidRPr="008B2E7D">
        <w:t>Household out-of-pocket expenditure for health</w:t>
      </w:r>
    </w:p>
    <w:p w:rsidR="008B2E7D" w:rsidRPr="008B2E7D" w:rsidRDefault="008B2E7D" w:rsidP="008B2E7D">
      <w:pPr>
        <w:keepNext/>
        <w:spacing w:before="240" w:after="240"/>
        <w:outlineLvl w:val="2"/>
        <w:rPr>
          <w:b/>
          <w:bCs/>
          <w:i/>
          <w:iCs/>
        </w:rPr>
      </w:pPr>
      <w:r w:rsidRPr="008B2E7D">
        <w:rPr>
          <w:b/>
          <w:bCs/>
          <w:i/>
          <w:iCs/>
        </w:rPr>
        <w:t>Definition and method of computation</w:t>
      </w:r>
    </w:p>
    <w:p w:rsidR="008B2E7D" w:rsidRPr="008B2E7D" w:rsidRDefault="008B2E7D" w:rsidP="008B2E7D">
      <w:pPr>
        <w:spacing w:after="240"/>
        <w:ind w:firstLine="442"/>
      </w:pPr>
      <w:r w:rsidRPr="008B2E7D">
        <w:t xml:space="preserve">Households’ out-of-pocket payments (OOP) are total expenditures borne directly by a patient where neither public nor private insurance cover the full cost of the health good or service. They include cost-sharing and other expenditure paid directly by private households and should also include estimations of informal payments to health care providers. Only expenditure for medical spending (i.e. excluding expenditure for the health part of long-term care) is measured. </w:t>
      </w:r>
    </w:p>
    <w:p w:rsidR="008B2E7D" w:rsidRPr="008B2E7D" w:rsidRDefault="008B2E7D" w:rsidP="008B2E7D">
      <w:r w:rsidRPr="008B2E7D">
        <w:t>·</w:t>
      </w:r>
      <w:r w:rsidRPr="008B2E7D">
        <w:tab/>
      </w:r>
      <w:r w:rsidRPr="008B2E7D">
        <w:rPr>
          <w:u w:val="single"/>
        </w:rPr>
        <w:t>Mode of participation</w:t>
      </w:r>
      <w:r w:rsidRPr="008B2E7D">
        <w:t>: voluntary, based on the willingness and ability to pay of the individual or household, though the government or voluntary insurance scheme may specify the amount of payment that is required;</w:t>
      </w:r>
    </w:p>
    <w:p w:rsidR="008B2E7D" w:rsidRPr="008B2E7D" w:rsidRDefault="008B2E7D" w:rsidP="008B2E7D">
      <w:r w:rsidRPr="008B2E7D">
        <w:t>·</w:t>
      </w:r>
      <w:r w:rsidRPr="008B2E7D">
        <w:tab/>
      </w:r>
      <w:r w:rsidRPr="008B2E7D">
        <w:rPr>
          <w:u w:val="single"/>
        </w:rPr>
        <w:t>Benefit entitlement</w:t>
      </w:r>
      <w:r w:rsidRPr="008B2E7D">
        <w:t>: contributory: the service is provided if the individual pays;</w:t>
      </w:r>
    </w:p>
    <w:p w:rsidR="008B2E7D" w:rsidRPr="008B2E7D" w:rsidRDefault="008B2E7D" w:rsidP="008B2E7D">
      <w:r w:rsidRPr="008B2E7D">
        <w:t>·</w:t>
      </w:r>
      <w:r w:rsidRPr="008B2E7D">
        <w:tab/>
      </w:r>
      <w:r w:rsidRPr="008B2E7D">
        <w:rPr>
          <w:u w:val="single"/>
        </w:rPr>
        <w:t>Basic method for fund-raising</w:t>
      </w:r>
      <w:r w:rsidRPr="008B2E7D">
        <w:t>: voluntary, based on the decision of the household to use the services, and therefore to pay for them.  The government may indirectly subsidise some OOP expenditures through tax deductions or credits;</w:t>
      </w:r>
    </w:p>
    <w:p w:rsidR="008B2E7D" w:rsidRPr="008B2E7D" w:rsidRDefault="008B2E7D" w:rsidP="008B2E7D">
      <w:pPr>
        <w:rPr>
          <w:b/>
          <w:bCs/>
          <w:caps/>
        </w:rPr>
      </w:pPr>
      <w:r w:rsidRPr="008B2E7D">
        <w:t>·</w:t>
      </w:r>
      <w:r w:rsidRPr="008B2E7D">
        <w:tab/>
      </w:r>
      <w:r w:rsidRPr="008B2E7D">
        <w:rPr>
          <w:u w:val="single"/>
        </w:rPr>
        <w:t>Mechanism and extent of pooling funds</w:t>
      </w:r>
      <w:r w:rsidRPr="008B2E7D">
        <w:t>: no inter-personal pooling.</w:t>
      </w:r>
    </w:p>
    <w:p w:rsidR="008B2E7D" w:rsidRPr="008B2E7D" w:rsidRDefault="008B2E7D" w:rsidP="008B2E7D">
      <w:pPr>
        <w:spacing w:after="240"/>
        <w:ind w:firstLine="442"/>
      </w:pPr>
      <w:r w:rsidRPr="008B2E7D">
        <w:t>Three main types of OOP: OOP excluding cost-sharing; OOP cost-sharing with government schemes and compulsory contributory health insurance schemes; and OOP cost-sharing with voluntary insurance schemes. The role (share) of each of these sub-categories and the changes in the share over time provide a more detailed picture of the burden of health financing on households than does just total OOP. Furthermore, the three types may provide important information about the effect of government intervention in health financing.</w:t>
      </w:r>
    </w:p>
    <w:p w:rsidR="008B2E7D" w:rsidRPr="008B2E7D" w:rsidRDefault="008B2E7D" w:rsidP="008B2E7D">
      <w:pPr>
        <w:keepNext/>
        <w:spacing w:before="240" w:after="240"/>
        <w:outlineLvl w:val="2"/>
        <w:rPr>
          <w:b/>
          <w:bCs/>
          <w:i/>
          <w:iCs/>
        </w:rPr>
      </w:pPr>
      <w:r w:rsidRPr="008B2E7D">
        <w:rPr>
          <w:b/>
          <w:bCs/>
          <w:i/>
          <w:iCs/>
        </w:rPr>
        <w:t>Rationale and interpretation</w:t>
      </w:r>
    </w:p>
    <w:p w:rsidR="008B2E7D" w:rsidRPr="008B2E7D" w:rsidRDefault="008B2E7D" w:rsidP="008B2E7D">
      <w:pPr>
        <w:spacing w:after="240"/>
        <w:ind w:firstLine="442"/>
      </w:pPr>
      <w:r w:rsidRPr="008B2E7D">
        <w:t>Out-of-pocket payments (OOP) show the direct burden of medical costs that households bear at the time of service use.  OOP play an important role in every health care system. In lower-income countries, out-of-pocket expenditure is often the main form of health care financing.</w:t>
      </w:r>
    </w:p>
    <w:p w:rsidR="008B2E7D" w:rsidRPr="008B2E7D" w:rsidRDefault="008B2E7D" w:rsidP="008B2E7D">
      <w:pPr>
        <w:spacing w:after="240"/>
        <w:ind w:firstLine="442"/>
      </w:pPr>
      <w:r w:rsidRPr="008B2E7D">
        <w:t>Even without an in-depth analysis of survey data to determine catastrophic and impoverishing effects, international evidence strongly suggests that high levels of OOP spending should be cause for concern. Analysis of data from nearly 80 countries undertaken by WHO reveals a strong correlation between the share of OOP in total health spending and the percentage of families that face catastrophic health spending.</w:t>
      </w:r>
    </w:p>
    <w:p w:rsidR="008B2E7D" w:rsidRPr="008B2E7D" w:rsidRDefault="008B2E7D" w:rsidP="008B2E7D">
      <w:pPr>
        <w:spacing w:after="240"/>
        <w:ind w:firstLine="442"/>
      </w:pPr>
      <w:r w:rsidRPr="008B2E7D">
        <w:t xml:space="preserve">Evidence shows that when OOPS as a proportion of Total Health Expenditure is below 15-20%, the incidence of financial catastrophe caused by out-of-pocket health expenses is negligible [WHO: World Health Report 2010 – Health systems financing: the path to universal coverage. Geneva: WHO; 2010.]. </w:t>
      </w:r>
    </w:p>
    <w:p w:rsidR="008B2E7D" w:rsidRPr="008B2E7D" w:rsidRDefault="008B2E7D" w:rsidP="008B2E7D">
      <w:pPr>
        <w:keepNext/>
        <w:spacing w:before="240" w:after="240"/>
        <w:outlineLvl w:val="2"/>
        <w:rPr>
          <w:b/>
          <w:bCs/>
          <w:i/>
          <w:iCs/>
        </w:rPr>
      </w:pPr>
      <w:r w:rsidRPr="008B2E7D">
        <w:rPr>
          <w:b/>
          <w:bCs/>
          <w:i/>
          <w:iCs/>
        </w:rPr>
        <w:lastRenderedPageBreak/>
        <w:t>Sources and data collection</w:t>
      </w:r>
    </w:p>
    <w:p w:rsidR="008B2E7D" w:rsidRPr="008B2E7D" w:rsidRDefault="008B2E7D" w:rsidP="008B2E7D">
      <w:pPr>
        <w:spacing w:after="240"/>
        <w:ind w:firstLine="442"/>
      </w:pPr>
      <w:r w:rsidRPr="008B2E7D">
        <w:t xml:space="preserve">In most cases, estimates can be produced for any country that has reliable household survey data. There is, however, considerable variability in the types of questions used to obtain household health expenditures, making comparability across countries and over time in the same country quite difficult. </w:t>
      </w:r>
    </w:p>
    <w:p w:rsidR="008B2E7D" w:rsidRPr="008B2E7D" w:rsidRDefault="008B2E7D" w:rsidP="008B2E7D">
      <w:pPr>
        <w:spacing w:after="240"/>
        <w:ind w:firstLine="442"/>
      </w:pPr>
      <w:r w:rsidRPr="008B2E7D">
        <w:t>Surveys are infrequent, suffer from sampling/no-sampling errors and face problems of timeliness. Ideally, they should be consolidated with other more reliable data sources (administrative health provider data).</w:t>
      </w:r>
    </w:p>
    <w:p w:rsidR="008B2E7D" w:rsidRPr="008B2E7D" w:rsidRDefault="008B2E7D" w:rsidP="008B2E7D">
      <w:pPr>
        <w:spacing w:after="240"/>
        <w:ind w:firstLine="442"/>
      </w:pPr>
      <w:r w:rsidRPr="008B2E7D">
        <w:t xml:space="preserve">Comparative estimates on OOP spending are compiled according to common boundaries and definitions under the System of Health Accounts (SHA) as endorsed by OECD, WHO and EC. </w:t>
      </w:r>
    </w:p>
    <w:p w:rsidR="008B2E7D" w:rsidRPr="008B2E7D" w:rsidRDefault="008B2E7D" w:rsidP="008B2E7D">
      <w:pPr>
        <w:keepNext/>
        <w:spacing w:before="240" w:after="240"/>
        <w:outlineLvl w:val="2"/>
        <w:rPr>
          <w:b/>
          <w:bCs/>
          <w:i/>
          <w:iCs/>
        </w:rPr>
      </w:pPr>
      <w:r w:rsidRPr="008B2E7D">
        <w:rPr>
          <w:b/>
          <w:bCs/>
          <w:i/>
          <w:iCs/>
        </w:rPr>
        <w:t>Disaggregation</w:t>
      </w:r>
    </w:p>
    <w:p w:rsidR="008B2E7D" w:rsidRPr="008B2E7D" w:rsidRDefault="008B2E7D" w:rsidP="008B2E7D">
      <w:pPr>
        <w:spacing w:after="240"/>
        <w:ind w:firstLine="442"/>
      </w:pPr>
      <w:r w:rsidRPr="008B2E7D">
        <w:t>Out of pocket (OOP) spending can be disaggregated by direct or cost-sharing (as in Definition above), by type of health care service and good, and, in the case of compiled sub- accounts, by disease category, age and gender.</w:t>
      </w:r>
    </w:p>
    <w:p w:rsidR="008B2E7D" w:rsidRPr="008B2E7D" w:rsidRDefault="008B2E7D" w:rsidP="008B2E7D">
      <w:pPr>
        <w:keepNext/>
        <w:spacing w:before="240" w:after="240"/>
        <w:outlineLvl w:val="2"/>
        <w:rPr>
          <w:b/>
          <w:bCs/>
          <w:i/>
          <w:iCs/>
        </w:rPr>
      </w:pPr>
      <w:r w:rsidRPr="008B2E7D">
        <w:rPr>
          <w:b/>
          <w:bCs/>
          <w:i/>
          <w:iCs/>
        </w:rPr>
        <w:t>Comments and limitations</w:t>
      </w:r>
    </w:p>
    <w:p w:rsidR="008B2E7D" w:rsidRPr="008B2E7D" w:rsidRDefault="008B2E7D" w:rsidP="008B2E7D">
      <w:pPr>
        <w:spacing w:after="240"/>
        <w:ind w:firstLine="442"/>
        <w:rPr>
          <w:b/>
          <w:bCs/>
          <w:caps/>
        </w:rPr>
      </w:pPr>
      <w:r w:rsidRPr="008B2E7D">
        <w:t>It can be argued that the ratio of out of pocket spending to total health expenditure (OOPs/THE) – or the inverse, the ratio of prepaid expenditures (taxes and insurance) to THE acts as a simpler 'flag' indicator of likely incidence of financial catastrophe and impoverishment.  However, it requires exactly the same data from household expenditure surveys. So if the surveys are available to estimate OOPs/THE, they are available to estimate the incidence of financial catastrophe. Experience has shown that policy makers can immediately see the political relevance of the incidence of financial catastrophe and/or impoverishment, whereas the ratio of OOPs to THE may not have the same immediate policy impact.</w:t>
      </w:r>
    </w:p>
    <w:p w:rsidR="008B2E7D" w:rsidRPr="008B2E7D" w:rsidRDefault="008B2E7D" w:rsidP="008B2E7D">
      <w:pPr>
        <w:keepNext/>
        <w:spacing w:before="240" w:after="240"/>
        <w:outlineLvl w:val="2"/>
        <w:rPr>
          <w:b/>
          <w:bCs/>
          <w:i/>
          <w:iCs/>
        </w:rPr>
      </w:pPr>
      <w:r w:rsidRPr="008B2E7D">
        <w:rPr>
          <w:b/>
          <w:bCs/>
          <w:i/>
          <w:iCs/>
        </w:rPr>
        <w:t>Gender equality issues</w:t>
      </w:r>
    </w:p>
    <w:p w:rsidR="008B2E7D" w:rsidRPr="008B2E7D" w:rsidRDefault="008B2E7D" w:rsidP="008B2E7D">
      <w:pPr>
        <w:spacing w:after="240"/>
        <w:ind w:firstLine="442"/>
      </w:pPr>
      <w:r w:rsidRPr="008B2E7D">
        <w:t>Difference in OOP spending by gender, particularly in relation to Reproductive, maternal, neonatal and Child health (RMNCH).</w:t>
      </w:r>
    </w:p>
    <w:p w:rsidR="008B2E7D" w:rsidRPr="008B2E7D" w:rsidRDefault="008B2E7D" w:rsidP="008B2E7D">
      <w:pPr>
        <w:keepNext/>
        <w:spacing w:before="240" w:after="240"/>
        <w:outlineLvl w:val="2"/>
        <w:rPr>
          <w:b/>
          <w:bCs/>
          <w:i/>
          <w:iCs/>
        </w:rPr>
      </w:pPr>
      <w:r w:rsidRPr="008B2E7D">
        <w:rPr>
          <w:b/>
          <w:bCs/>
          <w:i/>
          <w:iCs/>
        </w:rPr>
        <w:t>Data for global and regional monitoring</w:t>
      </w:r>
    </w:p>
    <w:p w:rsidR="008B2E7D" w:rsidRPr="008B2E7D" w:rsidRDefault="008B2E7D" w:rsidP="008B2E7D">
      <w:pPr>
        <w:spacing w:after="240"/>
        <w:ind w:firstLine="442"/>
      </w:pPr>
      <w:r w:rsidRPr="008B2E7D">
        <w:t>Overall OOP spending is a standard international indicator collected by OECD, WHO and EC as part of annual health accounts collections.</w:t>
      </w:r>
    </w:p>
    <w:p w:rsidR="008B2E7D" w:rsidRPr="008B2E7D" w:rsidRDefault="008B2E7D" w:rsidP="008B2E7D">
      <w:pPr>
        <w:keepNext/>
        <w:spacing w:before="240" w:after="240"/>
        <w:outlineLvl w:val="2"/>
        <w:rPr>
          <w:b/>
          <w:bCs/>
          <w:i/>
          <w:iCs/>
        </w:rPr>
      </w:pPr>
      <w:r w:rsidRPr="008B2E7D">
        <w:rPr>
          <w:b/>
          <w:bCs/>
          <w:i/>
          <w:iCs/>
        </w:rPr>
        <w:t>Supplementary information</w:t>
      </w:r>
    </w:p>
    <w:p w:rsidR="008B2E7D" w:rsidRPr="008B2E7D" w:rsidRDefault="008B2E7D" w:rsidP="008B2E7D">
      <w:pPr>
        <w:keepNext/>
        <w:spacing w:before="240" w:after="240"/>
        <w:outlineLvl w:val="2"/>
        <w:rPr>
          <w:b/>
          <w:bCs/>
          <w:i/>
          <w:iCs/>
        </w:rPr>
      </w:pPr>
      <w:r w:rsidRPr="008B2E7D">
        <w:rPr>
          <w:b/>
          <w:bCs/>
          <w:i/>
          <w:iCs/>
        </w:rPr>
        <w:t>References</w:t>
      </w:r>
    </w:p>
    <w:p w:rsidR="008B2E7D" w:rsidRPr="008B2E7D" w:rsidRDefault="008B2E7D" w:rsidP="008B2E7D">
      <w:r w:rsidRPr="008B2E7D">
        <w:t>OECD Health Statistics (</w:t>
      </w:r>
      <w:hyperlink r:id="rId10" w:history="1">
        <w:r w:rsidRPr="008B2E7D">
          <w:rPr>
            <w:color w:val="0000FF" w:themeColor="hyperlink"/>
            <w:u w:val="single"/>
          </w:rPr>
          <w:t>http://www.oecd.org/els/health-systems/health-data.htm</w:t>
        </w:r>
      </w:hyperlink>
      <w:r w:rsidRPr="008B2E7D">
        <w:t>; see section on definitions, sources and methods)</w:t>
      </w:r>
    </w:p>
    <w:p w:rsidR="008B2E7D" w:rsidRPr="008B2E7D" w:rsidRDefault="008B2E7D" w:rsidP="008B2E7D"/>
    <w:p w:rsidR="008B2E7D" w:rsidRPr="008B2E7D" w:rsidRDefault="008B2E7D" w:rsidP="008B2E7D">
      <w:r w:rsidRPr="008B2E7D">
        <w:t>Health at a Glance 2013 (</w:t>
      </w:r>
      <w:hyperlink r:id="rId11" w:history="1">
        <w:r w:rsidRPr="008B2E7D">
          <w:rPr>
            <w:color w:val="0000FF" w:themeColor="hyperlink"/>
            <w:u w:val="single"/>
          </w:rPr>
          <w:t>http://www.oecd.org/els/health-systems/health-at-a-glance.htm</w:t>
        </w:r>
      </w:hyperlink>
      <w:r w:rsidRPr="008B2E7D">
        <w:t>; see indicator 6.2)</w:t>
      </w:r>
    </w:p>
    <w:p w:rsidR="008B2E7D" w:rsidRPr="008B2E7D" w:rsidRDefault="008B2E7D" w:rsidP="008B2E7D"/>
    <w:p w:rsidR="008B2E7D" w:rsidRPr="008B2E7D" w:rsidRDefault="008B2E7D" w:rsidP="008B2E7D">
      <w:pPr>
        <w:spacing w:after="240"/>
      </w:pPr>
      <w:r w:rsidRPr="008B2E7D">
        <w:t>Health at a Glance: Europe 2014 (</w:t>
      </w:r>
      <w:hyperlink r:id="rId12" w:history="1">
        <w:r w:rsidRPr="008B2E7D">
          <w:rPr>
            <w:color w:val="0000FF" w:themeColor="hyperlink"/>
            <w:u w:val="single"/>
          </w:rPr>
          <w:t>http://www.oecd.org/els/health-at-a-glance-europe-23056088.htm</w:t>
        </w:r>
      </w:hyperlink>
      <w:r w:rsidRPr="008B2E7D">
        <w:t>; see indicator 5.2)</w:t>
      </w:r>
    </w:p>
    <w:p w:rsidR="008B2E7D" w:rsidRDefault="008B2E7D">
      <w:pPr>
        <w:tabs>
          <w:tab w:val="clear" w:pos="850"/>
          <w:tab w:val="clear" w:pos="1191"/>
          <w:tab w:val="clear" w:pos="1531"/>
        </w:tabs>
        <w:jc w:val="left"/>
      </w:pPr>
      <w:r>
        <w:br w:type="page"/>
      </w:r>
    </w:p>
    <w:p w:rsidR="008B2E7D" w:rsidRPr="008B2E7D" w:rsidRDefault="008B2E7D" w:rsidP="008B2E7D">
      <w:pPr>
        <w:keepNext/>
        <w:spacing w:before="1200" w:after="720"/>
        <w:jc w:val="center"/>
        <w:outlineLvl w:val="0"/>
        <w:rPr>
          <w:b/>
          <w:bCs/>
          <w:caps/>
          <w:kern w:val="28"/>
        </w:rPr>
      </w:pPr>
      <w:r w:rsidRPr="008B2E7D">
        <w:rPr>
          <w:b/>
          <w:bCs/>
          <w:iCs/>
          <w:caps/>
          <w:kern w:val="28"/>
        </w:rPr>
        <w:lastRenderedPageBreak/>
        <w:t>Yearly average exposure to particulate matter (PM2.5)</w:t>
      </w:r>
      <w:r w:rsidRPr="008B2E7D">
        <w:rPr>
          <w:b/>
          <w:bCs/>
          <w:caps/>
          <w:kern w:val="28"/>
        </w:rPr>
        <w:t xml:space="preserve">  </w:t>
      </w:r>
    </w:p>
    <w:p w:rsidR="008B2E7D" w:rsidRPr="008B2E7D" w:rsidRDefault="008B2E7D" w:rsidP="008B2E7D">
      <w:pPr>
        <w:keepNext/>
        <w:spacing w:before="240" w:after="240"/>
        <w:outlineLvl w:val="2"/>
        <w:rPr>
          <w:b/>
          <w:bCs/>
          <w:i/>
          <w:iCs/>
        </w:rPr>
      </w:pPr>
      <w:r w:rsidRPr="008B2E7D">
        <w:rPr>
          <w:b/>
          <w:bCs/>
          <w:i/>
          <w:iCs/>
        </w:rPr>
        <w:t>Goal and targets addressed</w:t>
      </w:r>
    </w:p>
    <w:p w:rsidR="008B2E7D" w:rsidRPr="008B2E7D" w:rsidRDefault="008B2E7D" w:rsidP="008B2E7D">
      <w:pPr>
        <w:spacing w:after="240"/>
        <w:ind w:firstLine="442"/>
      </w:pPr>
      <w:r w:rsidRPr="008B2E7D">
        <w:t xml:space="preserve">Goal 3: Ensure healthy lives and promote well-being for all at all ages; </w:t>
      </w:r>
    </w:p>
    <w:p w:rsidR="008B2E7D" w:rsidRPr="008B2E7D" w:rsidRDefault="008B2E7D" w:rsidP="008B2E7D">
      <w:pPr>
        <w:spacing w:after="240"/>
        <w:ind w:firstLine="442"/>
      </w:pPr>
      <w:r w:rsidRPr="008B2E7D">
        <w:t>Goal 11: Make cities and human settlements inclusive, safe, resilient and sustainable;</w:t>
      </w:r>
    </w:p>
    <w:p w:rsidR="008B2E7D" w:rsidRPr="008B2E7D" w:rsidRDefault="008B2E7D" w:rsidP="008B2E7D">
      <w:pPr>
        <w:spacing w:after="240"/>
        <w:ind w:firstLine="442"/>
      </w:pPr>
      <w:r w:rsidRPr="008B2E7D">
        <w:rPr>
          <w:bCs/>
        </w:rPr>
        <w:t xml:space="preserve">Target 3.9: </w:t>
      </w:r>
      <w:r w:rsidRPr="008B2E7D">
        <w:t xml:space="preserve">by 2030 substantially reduce the number of deaths and illnesses from hazardous chemicals and air, water, and soil pollution and contamination </w:t>
      </w:r>
    </w:p>
    <w:p w:rsidR="008B2E7D" w:rsidRPr="008B2E7D" w:rsidRDefault="008B2E7D" w:rsidP="008B2E7D">
      <w:pPr>
        <w:spacing w:after="240"/>
        <w:ind w:firstLine="442"/>
        <w:rPr>
          <w:bCs/>
        </w:rPr>
      </w:pPr>
      <w:r w:rsidRPr="008B2E7D">
        <w:rPr>
          <w:bCs/>
        </w:rPr>
        <w:t>Target 11.6:</w:t>
      </w:r>
      <w:r w:rsidRPr="008B2E7D">
        <w:rPr>
          <w:b/>
          <w:bCs/>
        </w:rPr>
        <w:t xml:space="preserve"> </w:t>
      </w:r>
      <w:r w:rsidRPr="008B2E7D">
        <w:t xml:space="preserve">by 2030, reduce the adverse per capita environmental impact of cities, including by paying special attention to air quality, municipal and other waste management </w:t>
      </w:r>
    </w:p>
    <w:p w:rsidR="008B2E7D" w:rsidRPr="008B2E7D" w:rsidRDefault="008B2E7D" w:rsidP="008B2E7D">
      <w:pPr>
        <w:keepNext/>
        <w:spacing w:before="240" w:after="240"/>
        <w:outlineLvl w:val="2"/>
        <w:rPr>
          <w:b/>
          <w:bCs/>
          <w:i/>
          <w:iCs/>
        </w:rPr>
      </w:pPr>
      <w:r w:rsidRPr="008B2E7D">
        <w:rPr>
          <w:b/>
          <w:bCs/>
          <w:i/>
          <w:iCs/>
        </w:rPr>
        <w:t xml:space="preserve"> Indicators</w:t>
      </w:r>
    </w:p>
    <w:p w:rsidR="008B2E7D" w:rsidRPr="008B2E7D" w:rsidRDefault="008B2E7D" w:rsidP="008B2E7D">
      <w:pPr>
        <w:spacing w:after="240"/>
        <w:ind w:firstLine="442"/>
      </w:pPr>
      <w:r w:rsidRPr="008B2E7D">
        <w:t>Yearly average exposure to particulate matter (PM2.5)</w:t>
      </w:r>
    </w:p>
    <w:p w:rsidR="008B2E7D" w:rsidRPr="008B2E7D" w:rsidRDefault="008B2E7D" w:rsidP="008B2E7D">
      <w:pPr>
        <w:keepNext/>
        <w:spacing w:before="240" w:after="240"/>
        <w:outlineLvl w:val="2"/>
        <w:rPr>
          <w:b/>
          <w:bCs/>
          <w:i/>
          <w:iCs/>
        </w:rPr>
      </w:pPr>
      <w:r w:rsidRPr="008B2E7D">
        <w:rPr>
          <w:b/>
          <w:bCs/>
          <w:i/>
          <w:iCs/>
        </w:rPr>
        <w:t>Definition and method of computation</w:t>
      </w:r>
    </w:p>
    <w:p w:rsidR="008B2E7D" w:rsidRPr="008B2E7D" w:rsidRDefault="008B2E7D" w:rsidP="008B2E7D">
      <w:pPr>
        <w:spacing w:after="240"/>
        <w:ind w:firstLine="442"/>
      </w:pPr>
      <w:r w:rsidRPr="008B2E7D">
        <w:t>The indicator measures “yearly average exposure to PM2.5”. The computation is based on a GIS- methodology at city, regional or national levels using satellite-based observations of PM2.5 concentration to overcome the lack of direct observations from ground-based stations. The satellite-based estimates of air pollution are computed at 1km</w:t>
      </w:r>
      <w:r w:rsidRPr="008B2E7D">
        <w:rPr>
          <w:vertAlign w:val="superscript"/>
        </w:rPr>
        <w:t>2</w:t>
      </w:r>
      <w:r w:rsidRPr="008B2E7D">
        <w:t xml:space="preserve"> resolution and then multiplied by the population living in that area. The exposure to air pollution in a country (region or city) is given by the sum of the population weighted values of PM2.5 in the 1km</w:t>
      </w:r>
      <w:r w:rsidRPr="008B2E7D">
        <w:rPr>
          <w:vertAlign w:val="superscript"/>
        </w:rPr>
        <w:t>2</w:t>
      </w:r>
      <w:r w:rsidRPr="008B2E7D">
        <w:t xml:space="preserve"> grid cells falling within the boundaries of the country (region or city). Finally, the “average exposure to PM2.5”is the population-weighted country level exposure. </w:t>
      </w:r>
    </w:p>
    <w:p w:rsidR="008B2E7D" w:rsidRPr="008B2E7D" w:rsidRDefault="008B2E7D" w:rsidP="008B2E7D">
      <w:pPr>
        <w:keepNext/>
        <w:spacing w:before="240" w:after="240"/>
        <w:outlineLvl w:val="2"/>
        <w:rPr>
          <w:b/>
          <w:bCs/>
          <w:i/>
          <w:iCs/>
        </w:rPr>
      </w:pPr>
      <w:r w:rsidRPr="008B2E7D">
        <w:rPr>
          <w:b/>
          <w:bCs/>
          <w:i/>
          <w:iCs/>
        </w:rPr>
        <w:t>Rationale and interpretation</w:t>
      </w:r>
    </w:p>
    <w:p w:rsidR="008B2E7D" w:rsidRPr="008B2E7D" w:rsidRDefault="008B2E7D" w:rsidP="008B2E7D">
      <w:pPr>
        <w:spacing w:after="240"/>
        <w:ind w:firstLine="442"/>
      </w:pPr>
      <w:r w:rsidRPr="008B2E7D">
        <w:t xml:space="preserve">The impact of outdoor air pollution on people’s health is sizeable. Fine particulate matter (or PM2.5, 2.5 microns and smaller) can cause respiration and cardiovascular morbidity or mortality from lung cancer, cardiovascular and respiratory diseases (World Health Organisation- WHO, 2013; European Environmental Agency, 2012). Recent estimates put the global toll of deaths from outdoor air pollution to over 3 million in 2012; almost 90% of these deaths occurred in low and middle income countries (WHO, 2014). </w:t>
      </w:r>
    </w:p>
    <w:p w:rsidR="008B2E7D" w:rsidRPr="008B2E7D" w:rsidRDefault="008B2E7D" w:rsidP="008B2E7D">
      <w:pPr>
        <w:spacing w:after="240"/>
        <w:ind w:firstLine="442"/>
      </w:pPr>
      <w:r w:rsidRPr="008B2E7D">
        <w:t>Fine particulate matters are emitted from the combustion of liquid and solid fuels for industrial and housing energy production, vehicles and biomass burning in agriculture. Air pollution is greatly associated with urbanisation, industry and transport. In 2011 only one-third of the urban population in OECD countries lived in cities with PM2.5 levels below the WHO’s recommended level of 10 μg/m</w:t>
      </w:r>
      <w:r w:rsidRPr="008B2E7D">
        <w:rPr>
          <w:vertAlign w:val="superscript"/>
        </w:rPr>
        <w:t>3</w:t>
      </w:r>
      <w:r w:rsidRPr="008B2E7D">
        <w:t xml:space="preserve"> (Brezzi and Sanchez-Serra, 2014). Thus in OECD countries and fast urbanising countries, exposure to air pollution is mainly an urban issue that requires measures and policies targeted to these areas. At the same time, evidence shows that in developing countries the contribution of biomass burning from agriculture and from household cooking to local and regional air pollution is sizeable (Environmental Performance Index, 2014), requiring the monitoring of air pollution, and its causes, also in rural areas. </w:t>
      </w:r>
    </w:p>
    <w:p w:rsidR="008B2E7D" w:rsidRPr="008B2E7D" w:rsidRDefault="008B2E7D" w:rsidP="008B2E7D">
      <w:pPr>
        <w:spacing w:after="240"/>
        <w:ind w:firstLine="442"/>
      </w:pPr>
      <w:r w:rsidRPr="008B2E7D">
        <w:t xml:space="preserve">Notwithstanding the importance of location to assess environmental outcomes, internationally comparable measures of air pollution across and within countries are rather limited. The major shortcoming derives from the heterogeneous coverage of ground-based air pollution monitoring stations – </w:t>
      </w:r>
      <w:r w:rsidRPr="008B2E7D">
        <w:lastRenderedPageBreak/>
        <w:t>source of the most accurate measure of local fine particulate matters - within OECD countries and their lack in many developing countries.</w:t>
      </w:r>
      <w:r w:rsidRPr="008B2E7D">
        <w:rPr>
          <w:vertAlign w:val="superscript"/>
        </w:rPr>
        <w:footnoteReference w:id="1"/>
      </w:r>
    </w:p>
    <w:p w:rsidR="008B2E7D" w:rsidRPr="008B2E7D" w:rsidRDefault="008B2E7D" w:rsidP="008B2E7D">
      <w:pPr>
        <w:spacing w:after="240"/>
        <w:ind w:firstLine="442"/>
      </w:pPr>
      <w:r w:rsidRPr="008B2E7D">
        <w:t>As an alternative source, this indicator is derived from global satellite observations of PM concentration. It has the advantage of being computable globally without requiring country capacity investments in data collection. It is currently provided for OECD countries, some emerging economies and for sub-national regions and cities in OECD countries via the OECD Stat Portal.</w:t>
      </w:r>
    </w:p>
    <w:p w:rsidR="008B2E7D" w:rsidRPr="008B2E7D" w:rsidRDefault="008B2E7D" w:rsidP="008B2E7D">
      <w:pPr>
        <w:spacing w:after="240"/>
        <w:ind w:firstLine="442"/>
      </w:pPr>
      <w:r w:rsidRPr="008B2E7D">
        <w:t xml:space="preserve">The unit of measurement for PM2.5 is given by micrograms per cubic meter (mg/m3). According to the WHO "Air Quality Guidelines" issued in 2005, the recommended standard for PM2.5 is no greater than 10 micrograms per cubic meter within the annual period of time. The US Environmental Protection Agency (EPA) issued PM2.5 concentration standard in 2006, with the restriction is no greater than 15 micrograms per cubic meter yearly. Similarly, the EU has established an exposure concentration obligation for European countries which has been set at a maximum of 20 </w:t>
      </w:r>
      <w:r w:rsidRPr="008B2E7D">
        <w:rPr>
          <w:i/>
        </w:rPr>
        <w:t>mg/m</w:t>
      </w:r>
      <w:r w:rsidRPr="008B2E7D">
        <w:rPr>
          <w:i/>
          <w:vertAlign w:val="superscript"/>
        </w:rPr>
        <w:t>3</w:t>
      </w:r>
      <w:r w:rsidRPr="008B2E7D">
        <w:t xml:space="preserve"> to be meet by 2015.</w:t>
      </w:r>
    </w:p>
    <w:p w:rsidR="008B2E7D" w:rsidRPr="008B2E7D" w:rsidRDefault="008B2E7D" w:rsidP="008B2E7D">
      <w:pPr>
        <w:spacing w:after="240"/>
        <w:ind w:firstLine="442"/>
      </w:pPr>
      <w:r w:rsidRPr="008B2E7D">
        <w:t xml:space="preserve">In the period 2002-2011 the average exposure to PM2.5 has decreased by 17 percentage points (to 12.4 </w:t>
      </w:r>
      <w:r w:rsidRPr="008B2E7D">
        <w:rPr>
          <w:i/>
        </w:rPr>
        <w:t>mg/m</w:t>
      </w:r>
      <w:r w:rsidRPr="008B2E7D">
        <w:rPr>
          <w:i/>
          <w:vertAlign w:val="superscript"/>
        </w:rPr>
        <w:t>3</w:t>
      </w:r>
      <w:r w:rsidRPr="008B2E7D">
        <w:t xml:space="preserve"> in 2011) in OECD countries. However, twenty-one OECD countries were still above the WHO recommended concentration level of 10 </w:t>
      </w:r>
      <w:r w:rsidRPr="008B2E7D">
        <w:rPr>
          <w:i/>
        </w:rPr>
        <w:t>mg/m</w:t>
      </w:r>
      <w:r w:rsidRPr="008B2E7D">
        <w:rPr>
          <w:i/>
          <w:vertAlign w:val="superscript"/>
        </w:rPr>
        <w:t>3</w:t>
      </w:r>
      <w:r w:rsidRPr="008B2E7D">
        <w:t xml:space="preserve"> and Korea and Israel above 20 </w:t>
      </w:r>
      <w:r w:rsidRPr="008B2E7D">
        <w:rPr>
          <w:i/>
        </w:rPr>
        <w:t>mg/m</w:t>
      </w:r>
      <w:r w:rsidRPr="008B2E7D">
        <w:rPr>
          <w:i/>
          <w:vertAlign w:val="superscript"/>
        </w:rPr>
        <w:t>3</w:t>
      </w:r>
      <w:r w:rsidRPr="008B2E7D">
        <w:t xml:space="preserve">. In the same period, the average concentration levels of air pollution in non OECD countries increased from 29 </w:t>
      </w:r>
      <w:r w:rsidRPr="008B2E7D">
        <w:rPr>
          <w:i/>
        </w:rPr>
        <w:t>mg/m</w:t>
      </w:r>
      <w:r w:rsidRPr="008B2E7D">
        <w:rPr>
          <w:i/>
          <w:vertAlign w:val="superscript"/>
        </w:rPr>
        <w:t>3</w:t>
      </w:r>
      <w:r w:rsidRPr="008B2E7D">
        <w:t xml:space="preserve"> in 2002 to 34.2 </w:t>
      </w:r>
      <w:r w:rsidRPr="008B2E7D">
        <w:rPr>
          <w:i/>
        </w:rPr>
        <w:t>mg/m</w:t>
      </w:r>
      <w:r w:rsidRPr="008B2E7D">
        <w:rPr>
          <w:i/>
          <w:vertAlign w:val="superscript"/>
        </w:rPr>
        <w:t>3</w:t>
      </w:r>
      <w:r w:rsidRPr="008B2E7D">
        <w:t xml:space="preserve"> in 2011, strongly influenced by the high exposure levels observed in India and China which have exposure to pollution four times higher than OECD levels.</w:t>
      </w:r>
    </w:p>
    <w:p w:rsidR="008B2E7D" w:rsidRPr="008B2E7D" w:rsidRDefault="008B2E7D" w:rsidP="008B2E7D">
      <w:pPr>
        <w:keepNext/>
        <w:spacing w:before="240" w:after="240"/>
        <w:outlineLvl w:val="2"/>
        <w:rPr>
          <w:b/>
          <w:bCs/>
          <w:i/>
          <w:iCs/>
        </w:rPr>
      </w:pPr>
      <w:r w:rsidRPr="008B2E7D">
        <w:rPr>
          <w:b/>
          <w:bCs/>
          <w:i/>
          <w:iCs/>
        </w:rPr>
        <w:t>Sources and data collection</w:t>
      </w:r>
    </w:p>
    <w:p w:rsidR="008B2E7D" w:rsidRPr="008B2E7D" w:rsidRDefault="008B2E7D" w:rsidP="008B2E7D">
      <w:pPr>
        <w:spacing w:after="240"/>
        <w:ind w:firstLine="442"/>
      </w:pPr>
      <w:r w:rsidRPr="008B2E7D">
        <w:t>The source for the satellite-based data of global exposure to PM2.5 are provided by van Donkelaar et al. (2015) modelling data from multiple satellites at 10km x 10 km resolution. Annual time series are provided for the period 1998-2012. The values of PM2.5 are weighted by using a global population grid (LandScan</w:t>
      </w:r>
      <w:r w:rsidRPr="008B2E7D">
        <w:rPr>
          <w:vertAlign w:val="superscript"/>
        </w:rPr>
        <w:footnoteReference w:id="2"/>
      </w:r>
      <w:r w:rsidRPr="008B2E7D">
        <w:t xml:space="preserve">). Both satellite observations of PM2.5 concentration and global population layout have improved dramatically in the most recent years and have become steady products for future updates. </w:t>
      </w:r>
    </w:p>
    <w:p w:rsidR="008B2E7D" w:rsidRPr="008B2E7D" w:rsidRDefault="008B2E7D" w:rsidP="008B2E7D">
      <w:pPr>
        <w:spacing w:after="240"/>
        <w:ind w:firstLine="442"/>
      </w:pPr>
      <w:r w:rsidRPr="008B2E7D">
        <w:t xml:space="preserve">The computation of the distribution of people in sub-national regions is done through the OECD Regional Classification and could be easily extended to the first tier of administrative regions in non OECD countries. </w:t>
      </w:r>
    </w:p>
    <w:p w:rsidR="008B2E7D" w:rsidRPr="008B2E7D" w:rsidRDefault="008B2E7D" w:rsidP="008B2E7D">
      <w:pPr>
        <w:spacing w:after="240"/>
        <w:ind w:firstLine="442"/>
      </w:pPr>
      <w:r w:rsidRPr="008B2E7D">
        <w:t>The estimates of average exposure to PM2.5 in cities are computed via the OECD/EU definition of functional urban areas that identifies consistently cities and their surrounding commuting areas in 30 OECD countries (OECD, 2012). Current efforts from the World Bank to extend OECD/EU definition of urban areas to non OECD countries are underway.</w:t>
      </w:r>
    </w:p>
    <w:p w:rsidR="008B2E7D" w:rsidRPr="008B2E7D" w:rsidRDefault="008B2E7D" w:rsidP="008B2E7D">
      <w:pPr>
        <w:keepNext/>
        <w:spacing w:before="240" w:after="240"/>
        <w:outlineLvl w:val="2"/>
        <w:rPr>
          <w:b/>
          <w:bCs/>
          <w:i/>
          <w:iCs/>
        </w:rPr>
      </w:pPr>
      <w:r w:rsidRPr="008B2E7D">
        <w:rPr>
          <w:b/>
          <w:bCs/>
          <w:i/>
          <w:iCs/>
        </w:rPr>
        <w:lastRenderedPageBreak/>
        <w:t xml:space="preserve"> Disaggregation</w:t>
      </w:r>
    </w:p>
    <w:p w:rsidR="008B2E7D" w:rsidRPr="008B2E7D" w:rsidRDefault="008B2E7D" w:rsidP="008B2E7D">
      <w:pPr>
        <w:spacing w:after="240"/>
        <w:ind w:firstLine="442"/>
      </w:pPr>
      <w:r w:rsidRPr="008B2E7D">
        <w:t>The indicator (numerator part) can be disaggregated by broad sector of researcher affiliation (business, higher education, government and private non-profit) as well as by gender, qualification (ISCED categories) and field of science.</w:t>
      </w:r>
    </w:p>
    <w:p w:rsidR="008B2E7D" w:rsidRPr="008B2E7D" w:rsidRDefault="008B2E7D" w:rsidP="008B2E7D">
      <w:pPr>
        <w:keepNext/>
        <w:spacing w:before="240" w:after="240"/>
        <w:outlineLvl w:val="2"/>
        <w:rPr>
          <w:b/>
          <w:bCs/>
          <w:i/>
          <w:iCs/>
        </w:rPr>
      </w:pPr>
      <w:r w:rsidRPr="008B2E7D">
        <w:rPr>
          <w:b/>
          <w:bCs/>
          <w:i/>
          <w:iCs/>
        </w:rPr>
        <w:t xml:space="preserve"> Comments and limitations</w:t>
      </w:r>
    </w:p>
    <w:p w:rsidR="008B2E7D" w:rsidRPr="008B2E7D" w:rsidRDefault="008B2E7D" w:rsidP="008B2E7D">
      <w:pPr>
        <w:spacing w:before="120" w:after="120"/>
      </w:pPr>
      <w:r w:rsidRPr="008B2E7D">
        <w:t>The main limitations are the following:</w:t>
      </w:r>
    </w:p>
    <w:p w:rsidR="008B2E7D" w:rsidRPr="008B2E7D" w:rsidRDefault="008B2E7D" w:rsidP="008B2E7D">
      <w:pPr>
        <w:numPr>
          <w:ilvl w:val="0"/>
          <w:numId w:val="17"/>
        </w:numPr>
        <w:tabs>
          <w:tab w:val="left" w:pos="720"/>
        </w:tabs>
        <w:spacing w:after="120"/>
        <w:contextualSpacing/>
      </w:pPr>
      <w:r w:rsidRPr="008B2E7D">
        <w:t>The indicator is an estimate of exposure to air pollution (modelled data) and not a direct observation, with loss of precision for bright surfaces (snow or desert).</w:t>
      </w:r>
    </w:p>
    <w:p w:rsidR="008B2E7D" w:rsidRPr="008B2E7D" w:rsidRDefault="008B2E7D" w:rsidP="008B2E7D">
      <w:pPr>
        <w:numPr>
          <w:ilvl w:val="0"/>
          <w:numId w:val="17"/>
        </w:numPr>
        <w:tabs>
          <w:tab w:val="left" w:pos="720"/>
        </w:tabs>
        <w:spacing w:after="120"/>
        <w:contextualSpacing/>
      </w:pPr>
      <w:r w:rsidRPr="008B2E7D">
        <w:t xml:space="preserve">To increase the accuracy of the estimates, the indicator is provided on a 3-year average, thus reducing the possibility to evaluation short-term events and increasing the time-delay of updated estimates (last available year is currently 2012). </w:t>
      </w:r>
    </w:p>
    <w:p w:rsidR="008B2E7D" w:rsidRPr="008B2E7D" w:rsidRDefault="008B2E7D" w:rsidP="008B2E7D">
      <w:pPr>
        <w:numPr>
          <w:ilvl w:val="0"/>
          <w:numId w:val="17"/>
        </w:numPr>
        <w:tabs>
          <w:tab w:val="left" w:pos="720"/>
        </w:tabs>
        <w:spacing w:after="120"/>
        <w:contextualSpacing/>
      </w:pPr>
      <w:r w:rsidRPr="008B2E7D">
        <w:t>The indicator covers only PM2.5 and no other pollutants (NO</w:t>
      </w:r>
      <w:r w:rsidRPr="008B2E7D">
        <w:rPr>
          <w:vertAlign w:val="subscript"/>
        </w:rPr>
        <w:t>2</w:t>
      </w:r>
      <w:r w:rsidRPr="008B2E7D">
        <w:t xml:space="preserve"> or SO</w:t>
      </w:r>
      <w:r w:rsidRPr="008B2E7D">
        <w:rPr>
          <w:vertAlign w:val="subscript"/>
        </w:rPr>
        <w:t>2</w:t>
      </w:r>
      <w:r w:rsidRPr="008B2E7D">
        <w:t xml:space="preserve"> for example).</w:t>
      </w:r>
    </w:p>
    <w:p w:rsidR="008B2E7D" w:rsidRPr="008B2E7D" w:rsidRDefault="008B2E7D" w:rsidP="008B2E7D">
      <w:pPr>
        <w:keepNext/>
        <w:spacing w:before="240" w:after="240"/>
        <w:outlineLvl w:val="2"/>
        <w:rPr>
          <w:b/>
          <w:bCs/>
          <w:i/>
          <w:iCs/>
        </w:rPr>
      </w:pPr>
      <w:r w:rsidRPr="008B2E7D">
        <w:rPr>
          <w:b/>
          <w:bCs/>
          <w:i/>
          <w:iCs/>
        </w:rPr>
        <w:t>Gender equality issues</w:t>
      </w:r>
    </w:p>
    <w:p w:rsidR="008B2E7D" w:rsidRPr="008B2E7D" w:rsidRDefault="008B2E7D" w:rsidP="008B2E7D">
      <w:pPr>
        <w:spacing w:before="120" w:after="120"/>
      </w:pPr>
      <w:r w:rsidRPr="008B2E7D">
        <w:t xml:space="preserve">The indicator cannot be disaggregated by gender or by other characteristics of the population (for example income). </w:t>
      </w:r>
    </w:p>
    <w:p w:rsidR="008B2E7D" w:rsidRPr="008B2E7D" w:rsidRDefault="008B2E7D" w:rsidP="008B2E7D">
      <w:pPr>
        <w:keepNext/>
        <w:spacing w:before="240" w:after="240"/>
        <w:outlineLvl w:val="2"/>
        <w:rPr>
          <w:b/>
          <w:bCs/>
          <w:i/>
          <w:iCs/>
        </w:rPr>
      </w:pPr>
      <w:r w:rsidRPr="008B2E7D">
        <w:rPr>
          <w:b/>
          <w:bCs/>
          <w:i/>
          <w:iCs/>
        </w:rPr>
        <w:t xml:space="preserve"> Data for global and regional monitoring</w:t>
      </w:r>
    </w:p>
    <w:p w:rsidR="008B2E7D" w:rsidRPr="008B2E7D" w:rsidRDefault="008B2E7D" w:rsidP="008B2E7D">
      <w:pPr>
        <w:spacing w:after="240"/>
        <w:ind w:firstLine="442"/>
      </w:pPr>
      <w:r w:rsidRPr="008B2E7D">
        <w:t>The indicator is currently available for all OECD countries, sub-national regions and cities, for the points 2001-03, 2004-06, 2007-09, and 2010-12. It can be easily extended to non OECD countries on the same time span.</w:t>
      </w:r>
    </w:p>
    <w:p w:rsidR="008B2E7D" w:rsidRPr="008B2E7D" w:rsidRDefault="008B2E7D" w:rsidP="008B2E7D">
      <w:pPr>
        <w:spacing w:after="240"/>
        <w:ind w:firstLine="442"/>
      </w:pPr>
      <w:r w:rsidRPr="008B2E7D">
        <w:t xml:space="preserve">Satellite observations of PM2.5 concentration have a global coverage. They provide consistent values using the same method and technology for different territories and points in time (spanning from 2002 to 2011). </w:t>
      </w:r>
    </w:p>
    <w:p w:rsidR="008B2E7D" w:rsidRPr="008B2E7D" w:rsidRDefault="008B2E7D" w:rsidP="008B2E7D">
      <w:pPr>
        <w:spacing w:after="240"/>
        <w:ind w:firstLine="442"/>
      </w:pPr>
      <w:r w:rsidRPr="008B2E7D">
        <w:t xml:space="preserve">The indicator can be provided for all countries. Moreover, it can be disaggregated at different geographical scales within countries (consistent with the aggregated national value). Making use of harmonised definitions, the indicator is provided for sub-national regions and cities (with population larger than 50 000 people) in the OECD countries (Brezzi and Sanchez-Serra, 2014). Similarly, the indicator could be computed also at sub-national level (for example according to administrative regions) or by rural/urban population in the non-OECD countries. </w:t>
      </w:r>
    </w:p>
    <w:p w:rsidR="008B2E7D" w:rsidRPr="008B2E7D" w:rsidRDefault="008B2E7D" w:rsidP="008B2E7D">
      <w:pPr>
        <w:keepNext/>
        <w:spacing w:before="100" w:beforeAutospacing="1" w:after="100" w:afterAutospacing="1"/>
        <w:outlineLvl w:val="2"/>
        <w:rPr>
          <w:b/>
          <w:bCs/>
          <w:i/>
          <w:iCs/>
        </w:rPr>
      </w:pPr>
      <w:r w:rsidRPr="008B2E7D">
        <w:rPr>
          <w:b/>
          <w:bCs/>
          <w:i/>
          <w:iCs/>
        </w:rPr>
        <w:t>References</w:t>
      </w:r>
    </w:p>
    <w:p w:rsidR="008B2E7D" w:rsidRPr="008B2E7D" w:rsidRDefault="008B2E7D" w:rsidP="008B2E7D">
      <w:pPr>
        <w:spacing w:after="240"/>
        <w:ind w:firstLine="442"/>
      </w:pPr>
      <w:r w:rsidRPr="008B2E7D">
        <w:t xml:space="preserve">Brezzi, M. and D. Sanchez-Serra (2014), “Breathing the Same Air? Measuring Air Pollution in Cities and Regions”, </w:t>
      </w:r>
      <w:r w:rsidRPr="008B2E7D">
        <w:rPr>
          <w:i/>
        </w:rPr>
        <w:t>OECD Regional Development Working Papers</w:t>
      </w:r>
      <w:r w:rsidRPr="008B2E7D">
        <w:t xml:space="preserve">, 2014/11, OECD Publishing. </w:t>
      </w:r>
      <w:hyperlink r:id="rId13" w:history="1">
        <w:r w:rsidRPr="008B2E7D">
          <w:rPr>
            <w:color w:val="0000FF" w:themeColor="hyperlink"/>
            <w:u w:val="single"/>
          </w:rPr>
          <w:t>http://dx.doi.org/10.1787/5jxrb7rkxf21-en</w:t>
        </w:r>
      </w:hyperlink>
    </w:p>
    <w:p w:rsidR="008B2E7D" w:rsidRPr="008B2E7D" w:rsidRDefault="008B2E7D" w:rsidP="008B2E7D">
      <w:pPr>
        <w:spacing w:after="240"/>
        <w:ind w:firstLine="442"/>
      </w:pPr>
      <w:r w:rsidRPr="008B2E7D">
        <w:t xml:space="preserve">EEA (2012), EEA Report No 4/2012, “Air quality in Europe 2012 report” http://www.eea.europa.eu/publications/air-quality-in-europe-2012. </w:t>
      </w:r>
    </w:p>
    <w:p w:rsidR="008B2E7D" w:rsidRPr="008B2E7D" w:rsidRDefault="008B2E7D" w:rsidP="008B2E7D">
      <w:pPr>
        <w:spacing w:after="240"/>
        <w:ind w:firstLine="442"/>
      </w:pPr>
      <w:r w:rsidRPr="008B2E7D">
        <w:t xml:space="preserve">Environmental Performance Index (2014), “The Global Metrics for the Environment”. http://epi.yale.edu/.van Donkelaar, A. et al.(2015), “Use of Satellite Observations for Long-Term Exposure Assessment of Global Concentrations of Fine Particulate Matter”, </w:t>
      </w:r>
      <w:r w:rsidRPr="008B2E7D">
        <w:rPr>
          <w:i/>
        </w:rPr>
        <w:t>Environmental Health Perspectives</w:t>
      </w:r>
      <w:r w:rsidRPr="008B2E7D">
        <w:t>, Vol. 123, Issue 2.</w:t>
      </w:r>
    </w:p>
    <w:p w:rsidR="008B2E7D" w:rsidRPr="008B2E7D" w:rsidRDefault="008B2E7D" w:rsidP="008B2E7D">
      <w:pPr>
        <w:spacing w:after="240"/>
        <w:ind w:firstLine="442"/>
      </w:pPr>
      <w:r w:rsidRPr="008B2E7D">
        <w:lastRenderedPageBreak/>
        <w:t xml:space="preserve">OECD (2012) </w:t>
      </w:r>
      <w:r w:rsidRPr="008B2E7D">
        <w:rPr>
          <w:i/>
        </w:rPr>
        <w:t>Redefining Urban: A new way to measure metropolitan areas</w:t>
      </w:r>
      <w:r w:rsidRPr="008B2E7D">
        <w:t>; OECD Publishing.</w:t>
      </w:r>
    </w:p>
    <w:p w:rsidR="008B2E7D" w:rsidRPr="008B2E7D" w:rsidRDefault="008B2E7D" w:rsidP="008B2E7D">
      <w:pPr>
        <w:spacing w:after="240"/>
        <w:ind w:firstLine="442"/>
      </w:pPr>
      <w:r w:rsidRPr="008B2E7D">
        <w:t xml:space="preserve">WHO (2014), “Ambient (outdoor) air pollution database”.  </w:t>
      </w:r>
      <w:hyperlink r:id="rId14" w:history="1">
        <w:r w:rsidRPr="008B2E7D">
          <w:rPr>
            <w:color w:val="0000FF" w:themeColor="hyperlink"/>
            <w:u w:val="single"/>
          </w:rPr>
          <w:t>http://www.who.int/phe/health_topics/outdoorair/databases/cities/en/</w:t>
        </w:r>
      </w:hyperlink>
      <w:r w:rsidRPr="008B2E7D">
        <w:t xml:space="preserve"> </w:t>
      </w:r>
    </w:p>
    <w:p w:rsidR="008B2E7D" w:rsidRPr="008B2E7D" w:rsidRDefault="008B2E7D" w:rsidP="008B2E7D">
      <w:pPr>
        <w:spacing w:after="240"/>
        <w:ind w:firstLine="442"/>
      </w:pPr>
      <w:r w:rsidRPr="008B2E7D">
        <w:t xml:space="preserve">WHO/ Europe (n.d.), </w:t>
      </w:r>
      <w:r w:rsidRPr="008B2E7D">
        <w:rPr>
          <w:i/>
        </w:rPr>
        <w:t>Environment and Health Information System</w:t>
      </w:r>
      <w:r w:rsidRPr="008B2E7D">
        <w:t xml:space="preserve"> (ENHIS) </w:t>
      </w:r>
      <w:hyperlink r:id="rId15" w:history="1">
        <w:r w:rsidRPr="008B2E7D">
          <w:rPr>
            <w:color w:val="0000FF" w:themeColor="hyperlink"/>
            <w:u w:val="single"/>
          </w:rPr>
          <w:t>http://www.euro.who.int/en/data-and-evidence/environment-and-health-information-system-enhis</w:t>
        </w:r>
      </w:hyperlink>
      <w:r w:rsidRPr="008B2E7D">
        <w:t xml:space="preserve">. </w:t>
      </w:r>
    </w:p>
    <w:p w:rsidR="008B2E7D" w:rsidRPr="008B2E7D" w:rsidRDefault="008B2E7D" w:rsidP="008B2E7D">
      <w:pPr>
        <w:spacing w:after="240"/>
        <w:ind w:firstLine="442"/>
      </w:pPr>
      <w:r w:rsidRPr="008B2E7D">
        <w:t xml:space="preserve">WHO (2013), </w:t>
      </w:r>
      <w:r w:rsidRPr="008B2E7D">
        <w:rPr>
          <w:i/>
        </w:rPr>
        <w:t>Health Effects of Particulate Matter. Policy implications for countries in eastern Europe, Caucasus and central Asia</w:t>
      </w:r>
      <w:r w:rsidRPr="008B2E7D">
        <w:t xml:space="preserve">. </w:t>
      </w:r>
      <w:hyperlink r:id="rId16" w:history="1">
        <w:r w:rsidRPr="008B2E7D">
          <w:rPr>
            <w:color w:val="0000FF" w:themeColor="hyperlink"/>
            <w:u w:val="single"/>
          </w:rPr>
          <w:t>http://www.euro.who.int/__data/assets/pdf_file/0006/189051/Healtheffects-of-particulate-matter-final-Eng.pdf</w:t>
        </w:r>
      </w:hyperlink>
      <w:r w:rsidRPr="008B2E7D">
        <w:t xml:space="preserve">. </w:t>
      </w:r>
    </w:p>
    <w:p w:rsidR="008B2E7D" w:rsidRDefault="008B2E7D">
      <w:pPr>
        <w:tabs>
          <w:tab w:val="clear" w:pos="850"/>
          <w:tab w:val="clear" w:pos="1191"/>
          <w:tab w:val="clear" w:pos="1531"/>
        </w:tabs>
        <w:jc w:val="left"/>
      </w:pPr>
      <w:r>
        <w:br w:type="page"/>
      </w:r>
    </w:p>
    <w:p w:rsidR="008B2E7D" w:rsidRPr="008B2E7D" w:rsidRDefault="008B2E7D" w:rsidP="008B2E7D">
      <w:pPr>
        <w:keepNext/>
        <w:spacing w:before="1200" w:after="720"/>
        <w:jc w:val="center"/>
        <w:outlineLvl w:val="0"/>
        <w:rPr>
          <w:b/>
          <w:bCs/>
          <w:caps/>
          <w:kern w:val="28"/>
        </w:rPr>
      </w:pPr>
      <w:r w:rsidRPr="008B2E7D">
        <w:rPr>
          <w:b/>
          <w:bCs/>
          <w:caps/>
          <w:kern w:val="28"/>
        </w:rPr>
        <w:lastRenderedPageBreak/>
        <w:t>ODA for medical research and basic health</w:t>
      </w:r>
    </w:p>
    <w:p w:rsidR="008B2E7D" w:rsidRPr="008B2E7D" w:rsidRDefault="008B2E7D" w:rsidP="008B2E7D">
      <w:pPr>
        <w:keepNext/>
        <w:spacing w:before="240" w:after="240"/>
        <w:outlineLvl w:val="2"/>
        <w:rPr>
          <w:b/>
          <w:bCs/>
          <w:i/>
          <w:iCs/>
        </w:rPr>
      </w:pPr>
      <w:r w:rsidRPr="008B2E7D">
        <w:rPr>
          <w:b/>
          <w:bCs/>
          <w:i/>
          <w:iCs/>
        </w:rPr>
        <w:t>Goal and target addressed</w:t>
      </w:r>
    </w:p>
    <w:p w:rsidR="008B2E7D" w:rsidRPr="008B2E7D" w:rsidRDefault="008B2E7D" w:rsidP="008B2E7D">
      <w:pPr>
        <w:spacing w:after="240"/>
        <w:ind w:firstLine="442"/>
      </w:pPr>
      <w:r w:rsidRPr="008B2E7D">
        <w:t>Goal 3: Ensure healthy lives and promote well-being for all at all ages.</w:t>
      </w:r>
    </w:p>
    <w:p w:rsidR="008B2E7D" w:rsidRPr="008B2E7D" w:rsidRDefault="008B2E7D" w:rsidP="008B2E7D">
      <w:pPr>
        <w:spacing w:after="240"/>
        <w:ind w:firstLine="442"/>
      </w:pPr>
      <w:r w:rsidRPr="008B2E7D">
        <w:t>Target 3b: Support research and development of vaccines and medicines for the communicable and non-communicable diseases that primarily affect developing countries, provide access to affordable essential medicines and vaccines, in accordance with the Doha Declaration which affirms the right of developing countries to use to the full the provisions in the TRIPS agreement regarding flexibilities to protect public health and, in particular, provide access to medicines for all.</w:t>
      </w:r>
    </w:p>
    <w:p w:rsidR="008B2E7D" w:rsidRPr="008B2E7D" w:rsidRDefault="008B2E7D" w:rsidP="008B2E7D">
      <w:pPr>
        <w:keepNext/>
        <w:spacing w:before="240" w:after="240"/>
        <w:outlineLvl w:val="2"/>
        <w:rPr>
          <w:b/>
          <w:bCs/>
          <w:i/>
          <w:iCs/>
        </w:rPr>
      </w:pPr>
      <w:r w:rsidRPr="008B2E7D">
        <w:rPr>
          <w:b/>
          <w:bCs/>
          <w:i/>
          <w:iCs/>
        </w:rPr>
        <w:t>Definition and method of computation</w:t>
      </w:r>
    </w:p>
    <w:p w:rsidR="008B2E7D" w:rsidRPr="008B2E7D" w:rsidRDefault="008B2E7D" w:rsidP="008B2E7D">
      <w:pPr>
        <w:spacing w:after="240"/>
        <w:ind w:firstLine="442"/>
        <w:rPr>
          <w:lang w:eastAsia="en-US"/>
        </w:rPr>
      </w:pPr>
      <w:r w:rsidRPr="008B2E7D">
        <w:rPr>
          <w:lang w:eastAsia="en-US"/>
        </w:rPr>
        <w:t xml:space="preserve">Total net </w:t>
      </w:r>
      <w:hyperlink r:id="rId17" w:anchor="ODA" w:history="1">
        <w:r w:rsidRPr="008B2E7D">
          <w:rPr>
            <w:color w:val="0000FF" w:themeColor="hyperlink"/>
            <w:u w:val="single"/>
            <w:lang w:eastAsia="en-US"/>
          </w:rPr>
          <w:t>official development assistance</w:t>
        </w:r>
      </w:hyperlink>
      <w:r w:rsidRPr="008B2E7D">
        <w:rPr>
          <w:lang w:eastAsia="en-US"/>
        </w:rPr>
        <w:t xml:space="preserve"> (ODA) to the medical research (</w:t>
      </w:r>
      <w:hyperlink r:id="rId18" w:history="1">
        <w:r w:rsidRPr="008B2E7D">
          <w:rPr>
            <w:color w:val="0000FF" w:themeColor="hyperlink"/>
            <w:u w:val="single"/>
            <w:lang w:eastAsia="en-US"/>
          </w:rPr>
          <w:t>purpose code</w:t>
        </w:r>
      </w:hyperlink>
      <w:r w:rsidRPr="008B2E7D">
        <w:rPr>
          <w:lang w:eastAsia="en-US"/>
        </w:rPr>
        <w:t xml:space="preserve"> 12182) and basic health (code 122) sectors.  Data expressed in US dollars at the average annual exchange rate.</w:t>
      </w:r>
    </w:p>
    <w:p w:rsidR="008B2E7D" w:rsidRPr="008B2E7D" w:rsidRDefault="008B2E7D" w:rsidP="008B2E7D">
      <w:pPr>
        <w:keepNext/>
        <w:spacing w:before="240" w:after="240"/>
        <w:outlineLvl w:val="2"/>
        <w:rPr>
          <w:b/>
          <w:bCs/>
          <w:i/>
          <w:iCs/>
        </w:rPr>
      </w:pPr>
      <w:r w:rsidRPr="008B2E7D">
        <w:rPr>
          <w:b/>
          <w:bCs/>
          <w:i/>
          <w:iCs/>
        </w:rPr>
        <w:t>Rationale and interpretation</w:t>
      </w:r>
    </w:p>
    <w:p w:rsidR="008B2E7D" w:rsidRPr="008B2E7D" w:rsidRDefault="008B2E7D" w:rsidP="008B2E7D">
      <w:pPr>
        <w:spacing w:after="240"/>
        <w:ind w:firstLine="442"/>
      </w:pPr>
      <w:r w:rsidRPr="008B2E7D">
        <w:t>ODA is the accepted measure of international development co-operation.  Separate data are available on aid to medical research for the benefit of developing countries and on aid in support of basic health interventions, but the total of the two most closely matches the target.</w:t>
      </w:r>
    </w:p>
    <w:p w:rsidR="008B2E7D" w:rsidRPr="008B2E7D" w:rsidRDefault="008B2E7D" w:rsidP="008B2E7D">
      <w:pPr>
        <w:keepNext/>
        <w:spacing w:before="240" w:after="240"/>
        <w:outlineLvl w:val="2"/>
        <w:rPr>
          <w:b/>
          <w:bCs/>
          <w:i/>
          <w:iCs/>
        </w:rPr>
      </w:pPr>
      <w:r w:rsidRPr="008B2E7D">
        <w:rPr>
          <w:b/>
          <w:bCs/>
          <w:i/>
          <w:iCs/>
        </w:rPr>
        <w:t>Sources and data collection</w:t>
      </w:r>
    </w:p>
    <w:p w:rsidR="008B2E7D" w:rsidRPr="008B2E7D" w:rsidRDefault="008B2E7D" w:rsidP="008B2E7D">
      <w:pPr>
        <w:spacing w:after="240"/>
        <w:ind w:firstLine="442"/>
        <w:rPr>
          <w:lang w:eastAsia="en-US"/>
        </w:rPr>
      </w:pPr>
      <w:r w:rsidRPr="008B2E7D">
        <w:rPr>
          <w:lang w:eastAsia="en-US"/>
        </w:rPr>
        <w:t xml:space="preserve">Data are compiled by the Development Assistance Committee (DAC) of the Organisation for Economic Co-operation and Development from returns submitted by its member countries and other aid providers.  Data can be accessed </w:t>
      </w:r>
      <w:hyperlink r:id="rId19" w:history="1">
        <w:r w:rsidRPr="008B2E7D">
          <w:rPr>
            <w:color w:val="0000FF" w:themeColor="hyperlink"/>
            <w:u w:val="single"/>
            <w:lang w:eastAsia="en-US"/>
          </w:rPr>
          <w:t>here</w:t>
        </w:r>
      </w:hyperlink>
      <w:r w:rsidRPr="008B2E7D">
        <w:rPr>
          <w:lang w:eastAsia="en-US"/>
        </w:rPr>
        <w:t>.</w:t>
      </w:r>
    </w:p>
    <w:p w:rsidR="008B2E7D" w:rsidRPr="008B2E7D" w:rsidRDefault="008B2E7D" w:rsidP="008B2E7D">
      <w:pPr>
        <w:keepNext/>
        <w:spacing w:before="240" w:after="240"/>
        <w:outlineLvl w:val="2"/>
        <w:rPr>
          <w:b/>
          <w:bCs/>
          <w:i/>
          <w:iCs/>
        </w:rPr>
      </w:pPr>
      <w:r w:rsidRPr="008B2E7D">
        <w:rPr>
          <w:b/>
          <w:bCs/>
          <w:i/>
          <w:iCs/>
        </w:rPr>
        <w:t>Disaggregation</w:t>
      </w:r>
    </w:p>
    <w:p w:rsidR="008B2E7D" w:rsidRPr="008B2E7D" w:rsidRDefault="008B2E7D" w:rsidP="008B2E7D">
      <w:pPr>
        <w:spacing w:after="240"/>
        <w:ind w:firstLine="442"/>
      </w:pPr>
      <w:r w:rsidRPr="008B2E7D">
        <w:t>The data are generally obtained on an activity level, and include numerous parameters.  They can thus be disaggregated by provider and recipient country; by type of finance, and by type of resources provided.  Some data are also available on the policy objectives targeted by individual projects.</w:t>
      </w:r>
    </w:p>
    <w:p w:rsidR="008B2E7D" w:rsidRPr="008B2E7D" w:rsidRDefault="008B2E7D" w:rsidP="008B2E7D">
      <w:pPr>
        <w:keepNext/>
        <w:spacing w:before="240" w:after="240"/>
        <w:outlineLvl w:val="2"/>
        <w:rPr>
          <w:b/>
          <w:bCs/>
          <w:i/>
          <w:iCs/>
        </w:rPr>
      </w:pPr>
      <w:r w:rsidRPr="008B2E7D">
        <w:rPr>
          <w:b/>
          <w:bCs/>
          <w:i/>
          <w:iCs/>
        </w:rPr>
        <w:t>Comments and limitations</w:t>
      </w:r>
    </w:p>
    <w:p w:rsidR="008B2E7D" w:rsidRPr="008B2E7D" w:rsidRDefault="008B2E7D" w:rsidP="008B2E7D">
      <w:pPr>
        <w:spacing w:after="240"/>
        <w:ind w:firstLine="442"/>
      </w:pPr>
      <w:r w:rsidRPr="008B2E7D">
        <w:t xml:space="preserve">The data only address international concessional flows provided by governments.  Detailed, internationally comparable sectoral information on other support to health in developing countries is generally lacking.  </w:t>
      </w:r>
    </w:p>
    <w:p w:rsidR="008B2E7D" w:rsidRPr="008B2E7D" w:rsidRDefault="008B2E7D" w:rsidP="008B2E7D">
      <w:pPr>
        <w:keepNext/>
        <w:spacing w:before="240" w:after="240"/>
        <w:outlineLvl w:val="2"/>
        <w:rPr>
          <w:b/>
          <w:bCs/>
          <w:i/>
          <w:iCs/>
        </w:rPr>
      </w:pPr>
      <w:r w:rsidRPr="008B2E7D">
        <w:rPr>
          <w:b/>
          <w:bCs/>
          <w:i/>
          <w:iCs/>
        </w:rPr>
        <w:t>Gender equality issues</w:t>
      </w:r>
    </w:p>
    <w:p w:rsidR="008B2E7D" w:rsidRPr="008B2E7D" w:rsidRDefault="008B2E7D" w:rsidP="008B2E7D">
      <w:pPr>
        <w:spacing w:after="240"/>
        <w:ind w:firstLine="442"/>
      </w:pPr>
      <w:r w:rsidRPr="008B2E7D">
        <w:t xml:space="preserve">The data include a </w:t>
      </w:r>
      <w:hyperlink r:id="rId20" w:history="1">
        <w:r w:rsidRPr="008B2E7D">
          <w:rPr>
            <w:color w:val="0000FF" w:themeColor="hyperlink"/>
            <w:u w:val="single"/>
          </w:rPr>
          <w:t>“gender equality” marker</w:t>
        </w:r>
      </w:hyperlink>
      <w:r w:rsidRPr="008B2E7D">
        <w:t xml:space="preserve"> which identifies individual projects that have a clear gender dimension. </w:t>
      </w:r>
    </w:p>
    <w:p w:rsidR="008B2E7D" w:rsidRPr="008B2E7D" w:rsidRDefault="008B2E7D" w:rsidP="008B2E7D">
      <w:pPr>
        <w:keepNext/>
        <w:spacing w:before="240" w:after="240"/>
        <w:outlineLvl w:val="2"/>
        <w:rPr>
          <w:b/>
          <w:bCs/>
          <w:i/>
          <w:iCs/>
        </w:rPr>
      </w:pPr>
      <w:r w:rsidRPr="008B2E7D">
        <w:rPr>
          <w:b/>
          <w:bCs/>
          <w:i/>
          <w:iCs/>
        </w:rPr>
        <w:t>Data for global and regional monitoring</w:t>
      </w:r>
    </w:p>
    <w:p w:rsidR="008B2E7D" w:rsidRPr="008B2E7D" w:rsidRDefault="008B2E7D" w:rsidP="008B2E7D">
      <w:pPr>
        <w:spacing w:after="240"/>
        <w:ind w:firstLine="442"/>
      </w:pPr>
      <w:r w:rsidRPr="008B2E7D">
        <w:t>Data are available for essentially all high-income countries, and for an increasing number of middle-income aid providers.</w:t>
      </w:r>
    </w:p>
    <w:p w:rsidR="008B2E7D" w:rsidRPr="008B2E7D" w:rsidRDefault="008B2E7D" w:rsidP="008B2E7D">
      <w:pPr>
        <w:keepNext/>
        <w:spacing w:before="240" w:after="240"/>
        <w:outlineLvl w:val="2"/>
        <w:rPr>
          <w:b/>
          <w:bCs/>
          <w:i/>
          <w:iCs/>
        </w:rPr>
      </w:pPr>
      <w:r w:rsidRPr="008B2E7D">
        <w:rPr>
          <w:b/>
          <w:bCs/>
          <w:i/>
          <w:iCs/>
        </w:rPr>
        <w:lastRenderedPageBreak/>
        <w:t>Supplementary information</w:t>
      </w:r>
    </w:p>
    <w:p w:rsidR="008B2E7D" w:rsidRPr="008B2E7D" w:rsidRDefault="008B2E7D" w:rsidP="008B2E7D">
      <w:pPr>
        <w:spacing w:after="240"/>
        <w:ind w:firstLine="442"/>
      </w:pPr>
      <w:r w:rsidRPr="008B2E7D">
        <w:t xml:space="preserve">See </w:t>
      </w:r>
      <w:hyperlink r:id="rId21" w:history="1">
        <w:r w:rsidRPr="008B2E7D">
          <w:rPr>
            <w:color w:val="0000FF" w:themeColor="hyperlink"/>
            <w:u w:val="single"/>
          </w:rPr>
          <w:t>Aid to Health</w:t>
        </w:r>
      </w:hyperlink>
    </w:p>
    <w:p w:rsidR="008B2E7D" w:rsidRPr="008B2E7D" w:rsidRDefault="008B2E7D" w:rsidP="008B2E7D">
      <w:pPr>
        <w:keepNext/>
        <w:spacing w:before="240" w:after="240"/>
        <w:outlineLvl w:val="2"/>
        <w:rPr>
          <w:b/>
          <w:bCs/>
          <w:i/>
          <w:iCs/>
        </w:rPr>
      </w:pPr>
      <w:r w:rsidRPr="008B2E7D">
        <w:rPr>
          <w:b/>
          <w:bCs/>
          <w:i/>
          <w:iCs/>
        </w:rPr>
        <w:t>References</w:t>
      </w:r>
    </w:p>
    <w:p w:rsidR="008B2E7D" w:rsidRPr="008B2E7D" w:rsidRDefault="008B2E7D" w:rsidP="008B2E7D">
      <w:pPr>
        <w:spacing w:after="240"/>
        <w:ind w:firstLine="442"/>
      </w:pPr>
      <w:r w:rsidRPr="008B2E7D">
        <w:t xml:space="preserve">Institute for Health Metrics and Evaluation, 2013, </w:t>
      </w:r>
      <w:hyperlink r:id="rId22" w:history="1">
        <w:r w:rsidRPr="008B2E7D">
          <w:rPr>
            <w:color w:val="0000FF" w:themeColor="hyperlink"/>
            <w:u w:val="single"/>
          </w:rPr>
          <w:t>Financing Global Health</w:t>
        </w:r>
      </w:hyperlink>
    </w:p>
    <w:p w:rsidR="008B2E7D" w:rsidRDefault="008B2E7D">
      <w:pPr>
        <w:tabs>
          <w:tab w:val="clear" w:pos="850"/>
          <w:tab w:val="clear" w:pos="1191"/>
          <w:tab w:val="clear" w:pos="1531"/>
        </w:tabs>
        <w:jc w:val="left"/>
      </w:pPr>
      <w:r>
        <w:br w:type="page"/>
      </w:r>
    </w:p>
    <w:p w:rsidR="008B2E7D" w:rsidRPr="008B2E7D" w:rsidRDefault="008B2E7D" w:rsidP="008B2E7D">
      <w:pPr>
        <w:keepNext/>
        <w:spacing w:before="1200" w:after="720"/>
        <w:jc w:val="center"/>
        <w:outlineLvl w:val="0"/>
        <w:rPr>
          <w:b/>
          <w:bCs/>
          <w:caps/>
          <w:kern w:val="28"/>
        </w:rPr>
      </w:pPr>
      <w:r w:rsidRPr="008B2E7D">
        <w:rPr>
          <w:b/>
          <w:bCs/>
          <w:caps/>
          <w:kern w:val="28"/>
        </w:rPr>
        <w:lastRenderedPageBreak/>
        <w:t>ODA to health</w:t>
      </w:r>
    </w:p>
    <w:p w:rsidR="008B2E7D" w:rsidRPr="008B2E7D" w:rsidRDefault="008B2E7D" w:rsidP="008B2E7D">
      <w:pPr>
        <w:keepNext/>
        <w:spacing w:before="240" w:after="240"/>
        <w:outlineLvl w:val="2"/>
        <w:rPr>
          <w:b/>
          <w:bCs/>
          <w:i/>
          <w:iCs/>
        </w:rPr>
      </w:pPr>
      <w:r w:rsidRPr="008B2E7D">
        <w:rPr>
          <w:b/>
          <w:bCs/>
          <w:i/>
          <w:iCs/>
        </w:rPr>
        <w:t>Goal and target addressed</w:t>
      </w:r>
    </w:p>
    <w:p w:rsidR="008B2E7D" w:rsidRPr="008B2E7D" w:rsidRDefault="008B2E7D" w:rsidP="008B2E7D">
      <w:pPr>
        <w:spacing w:after="240"/>
        <w:ind w:firstLine="442"/>
      </w:pPr>
      <w:r w:rsidRPr="008B2E7D">
        <w:t>Goal 3: Ensure healthy lives and promote well-being for all at all ages.</w:t>
      </w:r>
    </w:p>
    <w:p w:rsidR="008B2E7D" w:rsidRPr="008B2E7D" w:rsidRDefault="008B2E7D" w:rsidP="008B2E7D">
      <w:pPr>
        <w:spacing w:after="240"/>
        <w:ind w:firstLine="442"/>
      </w:pPr>
      <w:r w:rsidRPr="008B2E7D">
        <w:t>Target 3c: Increase substantially health financing and the recruitment, development and training and retention of the health workforce in developing countries, especially in LDCs and SIDS.</w:t>
      </w:r>
    </w:p>
    <w:p w:rsidR="008B2E7D" w:rsidRPr="008B2E7D" w:rsidRDefault="008B2E7D" w:rsidP="008B2E7D">
      <w:pPr>
        <w:keepNext/>
        <w:spacing w:before="240" w:after="240"/>
        <w:outlineLvl w:val="2"/>
        <w:rPr>
          <w:b/>
          <w:bCs/>
          <w:i/>
          <w:iCs/>
        </w:rPr>
      </w:pPr>
      <w:r w:rsidRPr="008B2E7D">
        <w:rPr>
          <w:b/>
          <w:bCs/>
          <w:i/>
          <w:iCs/>
        </w:rPr>
        <w:t>Definition and method of computation</w:t>
      </w:r>
    </w:p>
    <w:p w:rsidR="008B2E7D" w:rsidRPr="008B2E7D" w:rsidRDefault="008B2E7D" w:rsidP="008B2E7D">
      <w:pPr>
        <w:spacing w:after="240"/>
        <w:ind w:firstLine="442"/>
        <w:rPr>
          <w:lang w:eastAsia="en-US"/>
        </w:rPr>
      </w:pPr>
      <w:r w:rsidRPr="008B2E7D">
        <w:rPr>
          <w:lang w:eastAsia="en-US"/>
        </w:rPr>
        <w:t xml:space="preserve">Total net </w:t>
      </w:r>
      <w:hyperlink r:id="rId23" w:anchor="ODA" w:history="1">
        <w:r w:rsidRPr="008B2E7D">
          <w:rPr>
            <w:color w:val="0000FF" w:themeColor="hyperlink"/>
            <w:u w:val="single"/>
            <w:lang w:eastAsia="en-US"/>
          </w:rPr>
          <w:t>official development assistance</w:t>
        </w:r>
      </w:hyperlink>
      <w:r w:rsidRPr="008B2E7D">
        <w:rPr>
          <w:lang w:eastAsia="en-US"/>
        </w:rPr>
        <w:t xml:space="preserve"> (ODA) to the health (</w:t>
      </w:r>
      <w:hyperlink r:id="rId24" w:history="1">
        <w:r w:rsidRPr="008B2E7D">
          <w:rPr>
            <w:color w:val="0000FF" w:themeColor="hyperlink"/>
            <w:u w:val="single"/>
            <w:lang w:eastAsia="en-US"/>
          </w:rPr>
          <w:t>purpose code</w:t>
        </w:r>
      </w:hyperlink>
      <w:r w:rsidRPr="008B2E7D">
        <w:rPr>
          <w:lang w:eastAsia="en-US"/>
        </w:rPr>
        <w:t xml:space="preserve"> 120) sector, as well as subtotals for LDCs and SIDS.  Data expressed in US dollars at the average annual exchange rate.</w:t>
      </w:r>
    </w:p>
    <w:p w:rsidR="008B2E7D" w:rsidRPr="008B2E7D" w:rsidRDefault="008B2E7D" w:rsidP="008B2E7D">
      <w:pPr>
        <w:keepNext/>
        <w:spacing w:before="240" w:after="240"/>
        <w:outlineLvl w:val="2"/>
        <w:rPr>
          <w:b/>
          <w:bCs/>
          <w:i/>
          <w:iCs/>
        </w:rPr>
      </w:pPr>
      <w:r w:rsidRPr="008B2E7D">
        <w:rPr>
          <w:b/>
          <w:bCs/>
          <w:i/>
          <w:iCs/>
        </w:rPr>
        <w:t>Rationale and interpretation</w:t>
      </w:r>
    </w:p>
    <w:p w:rsidR="008B2E7D" w:rsidRPr="008B2E7D" w:rsidRDefault="008B2E7D" w:rsidP="008B2E7D">
      <w:pPr>
        <w:spacing w:after="240"/>
        <w:ind w:firstLine="442"/>
      </w:pPr>
      <w:r w:rsidRPr="008B2E7D">
        <w:t>ODA is the accepted measure of international development co-operation.  In this case it captures international concessional financing for health, including on health personnel.</w:t>
      </w:r>
    </w:p>
    <w:p w:rsidR="008B2E7D" w:rsidRPr="008B2E7D" w:rsidRDefault="008B2E7D" w:rsidP="008B2E7D">
      <w:pPr>
        <w:keepNext/>
        <w:spacing w:before="240" w:after="240"/>
        <w:outlineLvl w:val="2"/>
        <w:rPr>
          <w:b/>
          <w:bCs/>
          <w:i/>
          <w:iCs/>
        </w:rPr>
      </w:pPr>
      <w:r w:rsidRPr="008B2E7D">
        <w:rPr>
          <w:b/>
          <w:bCs/>
          <w:i/>
          <w:iCs/>
        </w:rPr>
        <w:t>Sources and data collection</w:t>
      </w:r>
    </w:p>
    <w:p w:rsidR="008B2E7D" w:rsidRPr="008B2E7D" w:rsidRDefault="008B2E7D" w:rsidP="008B2E7D">
      <w:pPr>
        <w:spacing w:after="240"/>
        <w:ind w:firstLine="442"/>
        <w:rPr>
          <w:lang w:eastAsia="en-US"/>
        </w:rPr>
      </w:pPr>
      <w:r w:rsidRPr="008B2E7D">
        <w:rPr>
          <w:lang w:eastAsia="en-US"/>
        </w:rPr>
        <w:t xml:space="preserve">Data are compiled by the Development Assistance Committee (DAC) of the Organisation for Economic Co-operation and Development from returns submitted by its member countries and other aid providers.  Data can be accessed </w:t>
      </w:r>
      <w:hyperlink r:id="rId25" w:history="1">
        <w:r w:rsidRPr="008B2E7D">
          <w:rPr>
            <w:color w:val="0000FF" w:themeColor="hyperlink"/>
            <w:u w:val="single"/>
            <w:lang w:eastAsia="en-US"/>
          </w:rPr>
          <w:t>here</w:t>
        </w:r>
      </w:hyperlink>
      <w:r w:rsidRPr="008B2E7D">
        <w:rPr>
          <w:lang w:eastAsia="en-US"/>
        </w:rPr>
        <w:t>.</w:t>
      </w:r>
    </w:p>
    <w:p w:rsidR="008B2E7D" w:rsidRPr="008B2E7D" w:rsidRDefault="008B2E7D" w:rsidP="008B2E7D">
      <w:pPr>
        <w:keepNext/>
        <w:spacing w:before="240" w:after="240"/>
        <w:outlineLvl w:val="2"/>
        <w:rPr>
          <w:b/>
          <w:bCs/>
          <w:i/>
          <w:iCs/>
        </w:rPr>
      </w:pPr>
      <w:r w:rsidRPr="008B2E7D">
        <w:rPr>
          <w:b/>
          <w:bCs/>
          <w:i/>
          <w:iCs/>
        </w:rPr>
        <w:t>Disaggregation</w:t>
      </w:r>
    </w:p>
    <w:p w:rsidR="008B2E7D" w:rsidRPr="008B2E7D" w:rsidRDefault="008B2E7D" w:rsidP="008B2E7D">
      <w:pPr>
        <w:spacing w:after="240"/>
        <w:ind w:firstLine="442"/>
      </w:pPr>
      <w:r w:rsidRPr="008B2E7D">
        <w:t>The data are generally obtained on an activity level, and include numerous parameters.  They can thus be disaggregated by provider and recipient country; by type of finance, and by type of resources provided.  Some data are also available on the policy objectives targeted by individual projects.</w:t>
      </w:r>
    </w:p>
    <w:p w:rsidR="008B2E7D" w:rsidRPr="008B2E7D" w:rsidRDefault="008B2E7D" w:rsidP="008B2E7D">
      <w:pPr>
        <w:keepNext/>
        <w:spacing w:before="240" w:after="240"/>
        <w:outlineLvl w:val="2"/>
        <w:rPr>
          <w:b/>
          <w:bCs/>
          <w:i/>
          <w:iCs/>
        </w:rPr>
      </w:pPr>
      <w:r w:rsidRPr="008B2E7D">
        <w:rPr>
          <w:b/>
          <w:bCs/>
          <w:i/>
          <w:iCs/>
        </w:rPr>
        <w:t>Comments and limitations</w:t>
      </w:r>
    </w:p>
    <w:p w:rsidR="008B2E7D" w:rsidRPr="008B2E7D" w:rsidRDefault="008B2E7D" w:rsidP="008B2E7D">
      <w:pPr>
        <w:spacing w:after="240"/>
        <w:ind w:firstLine="442"/>
      </w:pPr>
      <w:r w:rsidRPr="008B2E7D">
        <w:t xml:space="preserve">The data only address international concessional flows provided by governments.  Detailed, internationally comparable sectoral information on other support to health in developing countries is generally lacking.  </w:t>
      </w:r>
    </w:p>
    <w:p w:rsidR="008B2E7D" w:rsidRPr="008B2E7D" w:rsidRDefault="008B2E7D" w:rsidP="008B2E7D">
      <w:pPr>
        <w:keepNext/>
        <w:spacing w:before="240" w:after="240"/>
        <w:outlineLvl w:val="2"/>
        <w:rPr>
          <w:b/>
          <w:bCs/>
          <w:i/>
          <w:iCs/>
        </w:rPr>
      </w:pPr>
      <w:r w:rsidRPr="008B2E7D">
        <w:rPr>
          <w:b/>
          <w:bCs/>
          <w:i/>
          <w:iCs/>
        </w:rPr>
        <w:t>Gender equality issues</w:t>
      </w:r>
    </w:p>
    <w:p w:rsidR="008B2E7D" w:rsidRPr="008B2E7D" w:rsidRDefault="008B2E7D" w:rsidP="008B2E7D">
      <w:pPr>
        <w:spacing w:after="240"/>
        <w:ind w:firstLine="442"/>
      </w:pPr>
      <w:r w:rsidRPr="008B2E7D">
        <w:t xml:space="preserve">The data include a </w:t>
      </w:r>
      <w:hyperlink r:id="rId26" w:history="1">
        <w:r w:rsidRPr="008B2E7D">
          <w:rPr>
            <w:color w:val="0000FF" w:themeColor="hyperlink"/>
            <w:u w:val="single"/>
          </w:rPr>
          <w:t>“gender equality” marker</w:t>
        </w:r>
      </w:hyperlink>
      <w:r w:rsidRPr="008B2E7D">
        <w:t xml:space="preserve"> which identifies individual projects that have a clear gender dimension. </w:t>
      </w:r>
    </w:p>
    <w:p w:rsidR="008B2E7D" w:rsidRPr="008B2E7D" w:rsidRDefault="008B2E7D" w:rsidP="008B2E7D">
      <w:pPr>
        <w:keepNext/>
        <w:spacing w:before="240" w:after="240"/>
        <w:outlineLvl w:val="2"/>
        <w:rPr>
          <w:b/>
          <w:bCs/>
          <w:i/>
          <w:iCs/>
        </w:rPr>
      </w:pPr>
      <w:r w:rsidRPr="008B2E7D">
        <w:rPr>
          <w:b/>
          <w:bCs/>
          <w:i/>
          <w:iCs/>
        </w:rPr>
        <w:t>Data for global and regional monitoring</w:t>
      </w:r>
    </w:p>
    <w:p w:rsidR="008B2E7D" w:rsidRPr="008B2E7D" w:rsidRDefault="008B2E7D" w:rsidP="008B2E7D">
      <w:pPr>
        <w:spacing w:after="240"/>
        <w:ind w:firstLine="442"/>
      </w:pPr>
      <w:r w:rsidRPr="008B2E7D">
        <w:t>Data are available for essentially all high-income countries, and for an increasing number of middle-income aid providers.</w:t>
      </w:r>
    </w:p>
    <w:p w:rsidR="008B2E7D" w:rsidRPr="008B2E7D" w:rsidRDefault="008B2E7D" w:rsidP="008B2E7D">
      <w:pPr>
        <w:keepNext/>
        <w:spacing w:before="240" w:after="240"/>
        <w:outlineLvl w:val="2"/>
        <w:rPr>
          <w:b/>
          <w:bCs/>
          <w:i/>
          <w:iCs/>
        </w:rPr>
      </w:pPr>
      <w:r w:rsidRPr="008B2E7D">
        <w:rPr>
          <w:b/>
          <w:bCs/>
          <w:i/>
          <w:iCs/>
        </w:rPr>
        <w:t>Supplementary information</w:t>
      </w:r>
    </w:p>
    <w:p w:rsidR="008B2E7D" w:rsidRPr="008B2E7D" w:rsidRDefault="008B2E7D" w:rsidP="008B2E7D">
      <w:pPr>
        <w:spacing w:after="240"/>
        <w:ind w:firstLine="442"/>
      </w:pPr>
      <w:r w:rsidRPr="008B2E7D">
        <w:t xml:space="preserve">See </w:t>
      </w:r>
      <w:hyperlink r:id="rId27" w:history="1">
        <w:r w:rsidRPr="008B2E7D">
          <w:rPr>
            <w:color w:val="0000FF" w:themeColor="hyperlink"/>
            <w:u w:val="single"/>
          </w:rPr>
          <w:t>Aid to Health</w:t>
        </w:r>
      </w:hyperlink>
    </w:p>
    <w:p w:rsidR="008B2E7D" w:rsidRPr="008B2E7D" w:rsidRDefault="008B2E7D" w:rsidP="008B2E7D">
      <w:pPr>
        <w:keepNext/>
        <w:spacing w:before="240" w:after="240"/>
        <w:outlineLvl w:val="2"/>
        <w:rPr>
          <w:b/>
          <w:bCs/>
          <w:i/>
          <w:iCs/>
        </w:rPr>
      </w:pPr>
      <w:r w:rsidRPr="008B2E7D">
        <w:rPr>
          <w:b/>
          <w:bCs/>
          <w:i/>
          <w:iCs/>
        </w:rPr>
        <w:lastRenderedPageBreak/>
        <w:t>References</w:t>
      </w:r>
    </w:p>
    <w:p w:rsidR="008B2E7D" w:rsidRPr="008B2E7D" w:rsidRDefault="008B2E7D" w:rsidP="008B2E7D">
      <w:pPr>
        <w:spacing w:after="240"/>
        <w:ind w:firstLine="442"/>
      </w:pPr>
      <w:r w:rsidRPr="008B2E7D">
        <w:t xml:space="preserve">Institute for Health Metrics and Evaluation, 2013, </w:t>
      </w:r>
      <w:hyperlink r:id="rId28" w:history="1">
        <w:r w:rsidRPr="008B2E7D">
          <w:rPr>
            <w:color w:val="0000FF" w:themeColor="hyperlink"/>
            <w:u w:val="single"/>
          </w:rPr>
          <w:t>Financing Global Health</w:t>
        </w:r>
      </w:hyperlink>
      <w:r w:rsidRPr="008B2E7D">
        <w:t xml:space="preserve"> </w:t>
      </w:r>
    </w:p>
    <w:p w:rsidR="008B2E7D" w:rsidRPr="008B2E7D" w:rsidRDefault="008B2E7D" w:rsidP="008B2E7D">
      <w:pPr>
        <w:spacing w:after="240"/>
        <w:ind w:firstLine="442"/>
      </w:pPr>
    </w:p>
    <w:p w:rsidR="008B2E7D" w:rsidRPr="00D60065" w:rsidRDefault="008B2E7D" w:rsidP="008A5E4F">
      <w:pPr>
        <w:pStyle w:val="BodyText"/>
      </w:pPr>
      <w:bookmarkStart w:id="0" w:name="_GoBack"/>
      <w:bookmarkEnd w:id="0"/>
    </w:p>
    <w:sectPr w:rsidR="008B2E7D" w:rsidRPr="00D60065" w:rsidSect="008E4C23">
      <w:headerReference w:type="even" r:id="rId29"/>
      <w:footerReference w:type="even" r:id="rId30"/>
      <w:footerReference w:type="default" r:id="rId31"/>
      <w:endnotePr>
        <w:numFmt w:val="decimal"/>
      </w:endnotePr>
      <w:pgSz w:w="11906" w:h="16838"/>
      <w:pgMar w:top="1984" w:right="1247" w:bottom="1814" w:left="1191" w:header="1247" w:footer="124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9F9" w:rsidRDefault="007A69F9">
      <w:r>
        <w:separator/>
      </w:r>
    </w:p>
  </w:endnote>
  <w:endnote w:type="continuationSeparator" w:id="0">
    <w:p w:rsidR="007A69F9" w:rsidRDefault="007A6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rsidP="008E4C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25645" w:rsidRDefault="001256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23" w:rsidRDefault="008E4C23" w:rsidP="00F87CF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B2E7D">
      <w:rPr>
        <w:rStyle w:val="PageNumber"/>
        <w:noProof/>
      </w:rPr>
      <w:t>14</w:t>
    </w:r>
    <w:r>
      <w:rPr>
        <w:rStyle w:val="PageNumber"/>
      </w:rPr>
      <w:fldChar w:fldCharType="end"/>
    </w:r>
  </w:p>
  <w:p w:rsidR="00125645" w:rsidRPr="008E4C23" w:rsidRDefault="00125645" w:rsidP="008E4C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9F9" w:rsidRDefault="007A69F9">
      <w:r>
        <w:separator/>
      </w:r>
    </w:p>
  </w:footnote>
  <w:footnote w:type="continuationSeparator" w:id="0">
    <w:p w:rsidR="007A69F9" w:rsidRDefault="007A69F9">
      <w:r>
        <w:continuationSeparator/>
      </w:r>
    </w:p>
  </w:footnote>
  <w:footnote w:id="1">
    <w:p w:rsidR="008B2E7D" w:rsidRDefault="008B2E7D" w:rsidP="008B2E7D">
      <w:pPr>
        <w:pStyle w:val="FootnoteText"/>
      </w:pPr>
      <w:r>
        <w:rPr>
          <w:rStyle w:val="FootnoteReference"/>
        </w:rPr>
        <w:footnoteRef/>
      </w:r>
      <w:r>
        <w:t xml:space="preserve"> The most comprehensive dataset based on monitoring stations is the WHO Environment and Health Information System (ENHIS) that gathers population-weighted country-level exposure to PM and PM2.5 submitted by European countries to the European Environment Agency. The country levels are derived by data from urban or suburban monitoring stations for which these measurements are available for at least 75% of days in the year. However, according to the ENHIS, the assessment for several countries is based on data from one or few cities only, and in five countries the coverage of the urban population was 20% or less in 2011 (WHO- ENHIS, n.d.).</w:t>
      </w:r>
    </w:p>
  </w:footnote>
  <w:footnote w:id="2">
    <w:p w:rsidR="008B2E7D" w:rsidRDefault="008B2E7D" w:rsidP="008B2E7D">
      <w:pPr>
        <w:pStyle w:val="FootnoteText"/>
      </w:pPr>
      <w:r>
        <w:rPr>
          <w:rStyle w:val="FootnoteReference"/>
        </w:rPr>
        <w:footnoteRef/>
      </w:r>
      <w:r>
        <w:t xml:space="preserve"> LandScan is the finest resolution global population distribution data (1 km</w:t>
      </w:r>
      <w:r>
        <w:rPr>
          <w:vertAlign w:val="superscript"/>
        </w:rPr>
        <w:t>2</w:t>
      </w:r>
      <w:r>
        <w:t>) available and represents an ambient population (average over 24 hours).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pPr>
      <w:pStyle w:val="Header"/>
    </w:pPr>
    <w:r>
      <w:t>AAA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90F62"/>
    <w:multiLevelType w:val="singleLevel"/>
    <w:tmpl w:val="41606694"/>
    <w:name w:val="templateBullet1"/>
    <w:lvl w:ilvl="0">
      <w:start w:val="1"/>
      <w:numFmt w:val="bullet"/>
      <w:pStyle w:val="ListBullet"/>
      <w:lvlText w:val="·"/>
      <w:lvlJc w:val="left"/>
      <w:pPr>
        <w:tabs>
          <w:tab w:val="num" w:pos="850"/>
        </w:tabs>
        <w:ind w:left="850" w:hanging="408"/>
      </w:pPr>
      <w:rPr>
        <w:rFonts w:ascii="Symbol" w:hAnsi="Symbol" w:cs="Times New Roman" w:hint="default"/>
        <w:b w:val="0"/>
        <w:i w:val="0"/>
        <w:sz w:val="22"/>
      </w:rPr>
    </w:lvl>
  </w:abstractNum>
  <w:abstractNum w:abstractNumId="1">
    <w:nsid w:val="0C890C55"/>
    <w:multiLevelType w:val="singleLevel"/>
    <w:tmpl w:val="15B65924"/>
    <w:name w:val="templateBulletBox3"/>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2">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3">
    <w:nsid w:val="0DEA6B1D"/>
    <w:multiLevelType w:val="singleLevel"/>
    <w:tmpl w:val="D5A6E36A"/>
    <w:styleLink w:val="NumericNote"/>
    <w:lvl w:ilvl="0">
      <w:start w:val="1"/>
      <w:numFmt w:val="decimal"/>
      <w:lvlText w:val="%1."/>
      <w:lvlJc w:val="left"/>
      <w:pPr>
        <w:tabs>
          <w:tab w:val="num" w:pos="408"/>
        </w:tabs>
        <w:ind w:left="408" w:hanging="408"/>
      </w:pPr>
    </w:lvl>
  </w:abstractNum>
  <w:abstractNum w:abstractNumId="4">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5">
    <w:nsid w:val="157968A9"/>
    <w:multiLevelType w:val="singleLevel"/>
    <w:tmpl w:val="D5A6E36A"/>
    <w:name w:val="NumericNote"/>
    <w:lvl w:ilvl="0">
      <w:start w:val="1"/>
      <w:numFmt w:val="decimal"/>
      <w:lvlText w:val="%1."/>
      <w:lvlJc w:val="left"/>
      <w:pPr>
        <w:tabs>
          <w:tab w:val="num" w:pos="850"/>
        </w:tabs>
        <w:ind w:left="850" w:hanging="408"/>
      </w:pPr>
    </w:lvl>
  </w:abstractNum>
  <w:abstractNum w:abstractNumId="6">
    <w:nsid w:val="27397F89"/>
    <w:multiLevelType w:val="singleLevel"/>
    <w:tmpl w:val="60A0508A"/>
    <w:name w:val="AlphaNote"/>
    <w:lvl w:ilvl="0">
      <w:start w:val="1"/>
      <w:numFmt w:val="lowerLetter"/>
      <w:lvlText w:val="%1."/>
      <w:lvlJc w:val="left"/>
      <w:pPr>
        <w:tabs>
          <w:tab w:val="num" w:pos="850"/>
        </w:tabs>
        <w:ind w:left="850" w:hanging="408"/>
      </w:pPr>
    </w:lvl>
  </w:abstractNum>
  <w:abstractNum w:abstractNumId="7">
    <w:nsid w:val="2ACF6F84"/>
    <w:multiLevelType w:val="singleLevel"/>
    <w:tmpl w:val="D51E568A"/>
    <w:name w:val="templateBullet2"/>
    <w:lvl w:ilvl="0">
      <w:start w:val="1"/>
      <w:numFmt w:val="bullet"/>
      <w:pStyle w:val="ListBullet2"/>
      <w:lvlText w:val="-"/>
      <w:lvlJc w:val="left"/>
      <w:pPr>
        <w:tabs>
          <w:tab w:val="num" w:pos="1190"/>
        </w:tabs>
        <w:ind w:left="1190" w:hanging="340"/>
      </w:pPr>
      <w:rPr>
        <w:rFonts w:ascii="Symbol" w:hAnsi="Symbol" w:cs="Times New Roman" w:hint="default"/>
        <w:b w:val="0"/>
        <w:i w:val="0"/>
        <w:sz w:val="22"/>
      </w:rPr>
    </w:lvl>
  </w:abstractNum>
  <w:abstractNum w:abstractNumId="8">
    <w:nsid w:val="2E9F3386"/>
    <w:multiLevelType w:val="hybridMultilevel"/>
    <w:tmpl w:val="9A7AA0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385D0A84"/>
    <w:multiLevelType w:val="multilevel"/>
    <w:tmpl w:val="7F148E5C"/>
    <w:name w:val="templateNumberBox"/>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8518"/>
        </w:tabs>
        <w:ind w:left="8518" w:hanging="360"/>
      </w:pPr>
    </w:lvl>
    <w:lvl w:ilvl="4">
      <w:start w:val="1"/>
      <w:numFmt w:val="lowerLetter"/>
      <w:lvlText w:val="(%5)"/>
      <w:lvlJc w:val="left"/>
      <w:pPr>
        <w:tabs>
          <w:tab w:val="num" w:pos="8878"/>
        </w:tabs>
        <w:ind w:left="8878" w:hanging="360"/>
      </w:pPr>
    </w:lvl>
    <w:lvl w:ilvl="5">
      <w:start w:val="1"/>
      <w:numFmt w:val="lowerRoman"/>
      <w:lvlText w:val="(%6)"/>
      <w:lvlJc w:val="left"/>
      <w:pPr>
        <w:tabs>
          <w:tab w:val="num" w:pos="9238"/>
        </w:tabs>
        <w:ind w:left="9238" w:hanging="360"/>
      </w:pPr>
    </w:lvl>
    <w:lvl w:ilvl="6">
      <w:start w:val="1"/>
      <w:numFmt w:val="decimal"/>
      <w:lvlText w:val="%7."/>
      <w:lvlJc w:val="left"/>
      <w:pPr>
        <w:tabs>
          <w:tab w:val="num" w:pos="9598"/>
        </w:tabs>
        <w:ind w:left="9598" w:hanging="360"/>
      </w:pPr>
    </w:lvl>
    <w:lvl w:ilvl="7">
      <w:start w:val="1"/>
      <w:numFmt w:val="lowerLetter"/>
      <w:lvlText w:val="%8."/>
      <w:lvlJc w:val="left"/>
      <w:pPr>
        <w:tabs>
          <w:tab w:val="num" w:pos="9958"/>
        </w:tabs>
        <w:ind w:left="9958" w:hanging="360"/>
      </w:pPr>
    </w:lvl>
    <w:lvl w:ilvl="8">
      <w:start w:val="1"/>
      <w:numFmt w:val="lowerRoman"/>
      <w:lvlText w:val="%9."/>
      <w:lvlJc w:val="left"/>
      <w:pPr>
        <w:tabs>
          <w:tab w:val="num" w:pos="10318"/>
        </w:tabs>
        <w:ind w:left="10318" w:hanging="360"/>
      </w:pPr>
    </w:lvl>
  </w:abstractNum>
  <w:abstractNum w:abstractNumId="10">
    <w:nsid w:val="3BC230DE"/>
    <w:multiLevelType w:val="multilevel"/>
    <w:tmpl w:val="F99EB0E0"/>
    <w:name w:val="templateNumber"/>
    <w:lvl w:ilvl="0">
      <w:start w:val="1"/>
      <w:numFmt w:val="decimal"/>
      <w:pStyle w:val="ListNumber"/>
      <w:lvlText w:val="%1."/>
      <w:lvlJc w:val="left"/>
      <w:pPr>
        <w:tabs>
          <w:tab w:val="num" w:pos="850"/>
        </w:tabs>
        <w:ind w:left="850" w:hanging="408"/>
      </w:pPr>
    </w:lvl>
    <w:lvl w:ilvl="1">
      <w:start w:val="1"/>
      <w:numFmt w:val="decimal"/>
      <w:pStyle w:val="ListNumber2"/>
      <w:lvlText w:val="%2."/>
      <w:lvlJc w:val="left"/>
      <w:pPr>
        <w:tabs>
          <w:tab w:val="num" w:pos="1191"/>
        </w:tabs>
        <w:ind w:left="1191" w:hanging="341"/>
      </w:pPr>
    </w:lvl>
    <w:lvl w:ilvl="2">
      <w:start w:val="1"/>
      <w:numFmt w:val="decimal"/>
      <w:pStyle w:val="ListNumber3"/>
      <w:lvlText w:val="%3."/>
      <w:lvlJc w:val="left"/>
      <w:pPr>
        <w:tabs>
          <w:tab w:val="num" w:pos="1474"/>
        </w:tabs>
        <w:ind w:left="1474" w:hanging="340"/>
      </w:pPr>
    </w:lvl>
    <w:lvl w:ilvl="3">
      <w:start w:val="1"/>
      <w:numFmt w:val="decimal"/>
      <w:pStyle w:val="ListNumber4"/>
      <w:lvlText w:val="%4."/>
      <w:lvlJc w:val="left"/>
      <w:pPr>
        <w:tabs>
          <w:tab w:val="num" w:pos="1757"/>
        </w:tabs>
        <w:ind w:left="1757" w:hanging="340"/>
      </w:pPr>
    </w:lvl>
    <w:lvl w:ilvl="4">
      <w:start w:val="1"/>
      <w:numFmt w:val="decimal"/>
      <w:pStyle w:val="ListNumber5"/>
      <w:lvlText w:val="%5."/>
      <w:lvlJc w:val="left"/>
      <w:pPr>
        <w:tabs>
          <w:tab w:val="num" w:pos="2041"/>
        </w:tabs>
        <w:ind w:left="2041"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8BB7503"/>
    <w:multiLevelType w:val="singleLevel"/>
    <w:tmpl w:val="60A0508A"/>
    <w:styleLink w:val="AlphaNote"/>
    <w:lvl w:ilvl="0">
      <w:start w:val="1"/>
      <w:numFmt w:val="lowerLetter"/>
      <w:lvlText w:val="%1."/>
      <w:lvlJc w:val="left"/>
      <w:pPr>
        <w:tabs>
          <w:tab w:val="num" w:pos="408"/>
        </w:tabs>
        <w:ind w:left="408" w:hanging="408"/>
      </w:pPr>
    </w:lvl>
  </w:abstractNum>
  <w:abstractNum w:abstractNumId="12">
    <w:nsid w:val="48EC55A8"/>
    <w:multiLevelType w:val="singleLevel"/>
    <w:tmpl w:val="EBBACA14"/>
    <w:name w:val="templateBullet3"/>
    <w:lvl w:ilvl="0">
      <w:start w:val="1"/>
      <w:numFmt w:val="bullet"/>
      <w:pStyle w:val="ListBullet3"/>
      <w:lvlText w:val="-"/>
      <w:lvlJc w:val="left"/>
      <w:pPr>
        <w:tabs>
          <w:tab w:val="num" w:pos="1474"/>
        </w:tabs>
        <w:ind w:left="1474" w:hanging="340"/>
      </w:pPr>
      <w:rPr>
        <w:rFonts w:ascii="Symbol" w:hAnsi="Symbol" w:cs="Times New Roman" w:hint="default"/>
        <w:b w:val="0"/>
        <w:i w:val="0"/>
        <w:sz w:val="22"/>
      </w:rPr>
    </w:lvl>
  </w:abstractNum>
  <w:abstractNum w:abstractNumId="13">
    <w:nsid w:val="4AAE47B4"/>
    <w:multiLevelType w:val="singleLevel"/>
    <w:tmpl w:val="AB6CFFBC"/>
    <w:name w:val="templateBulletBox2"/>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14">
    <w:nsid w:val="56BE6F79"/>
    <w:multiLevelType w:val="singleLevel"/>
    <w:tmpl w:val="F258D16A"/>
    <w:name w:val="templateBullet4"/>
    <w:lvl w:ilvl="0">
      <w:start w:val="1"/>
      <w:numFmt w:val="bullet"/>
      <w:pStyle w:val="ListBullet4"/>
      <w:lvlText w:val="-"/>
      <w:lvlJc w:val="left"/>
      <w:pPr>
        <w:tabs>
          <w:tab w:val="num" w:pos="1757"/>
        </w:tabs>
        <w:ind w:left="1757" w:hanging="340"/>
      </w:pPr>
      <w:rPr>
        <w:rFonts w:ascii="Symbol" w:hAnsi="Symbol" w:cs="Times New Roman" w:hint="default"/>
        <w:b w:val="0"/>
        <w:i w:val="0"/>
        <w:sz w:val="22"/>
      </w:rPr>
    </w:lvl>
  </w:abstractNum>
  <w:abstractNum w:abstractNumId="15">
    <w:nsid w:val="5C8E0CA3"/>
    <w:multiLevelType w:val="singleLevel"/>
    <w:tmpl w:val="BCFCA2DE"/>
    <w:name w:val="templateBullet5"/>
    <w:lvl w:ilvl="0">
      <w:start w:val="1"/>
      <w:numFmt w:val="bullet"/>
      <w:pStyle w:val="ListBullet5"/>
      <w:lvlText w:val="-"/>
      <w:lvlJc w:val="left"/>
      <w:pPr>
        <w:tabs>
          <w:tab w:val="num" w:pos="2041"/>
        </w:tabs>
        <w:ind w:left="2041" w:hanging="340"/>
      </w:pPr>
      <w:rPr>
        <w:rFonts w:ascii="Symbol" w:hAnsi="Symbol" w:cs="Times New Roman" w:hint="default"/>
        <w:b w:val="0"/>
        <w:i w:val="0"/>
        <w:sz w:val="22"/>
      </w:rPr>
    </w:lvl>
  </w:abstractNum>
  <w:abstractNum w:abstractNumId="16">
    <w:nsid w:val="63E515CF"/>
    <w:multiLevelType w:val="singleLevel"/>
    <w:tmpl w:val="7A00B8A4"/>
    <w:name w:val="templateBulletBox1"/>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num w:numId="1">
    <w:abstractNumId w:val="4"/>
  </w:num>
  <w:num w:numId="2">
    <w:abstractNumId w:val="2"/>
  </w:num>
  <w:num w:numId="3">
    <w:abstractNumId w:val="3"/>
  </w:num>
  <w:num w:numId="4">
    <w:abstractNumId w:val="11"/>
  </w:num>
  <w:num w:numId="5">
    <w:abstractNumId w:val="0"/>
  </w:num>
  <w:num w:numId="6">
    <w:abstractNumId w:val="7"/>
  </w:num>
  <w:num w:numId="7">
    <w:abstractNumId w:val="12"/>
  </w:num>
  <w:num w:numId="8">
    <w:abstractNumId w:val="14"/>
  </w:num>
  <w:num w:numId="9">
    <w:abstractNumId w:val="15"/>
  </w:num>
  <w:num w:numId="10">
    <w:abstractNumId w:val="10"/>
  </w:num>
  <w:num w:numId="11">
    <w:abstractNumId w:val="16"/>
  </w:num>
  <w:num w:numId="12">
    <w:abstractNumId w:val="13"/>
  </w:num>
  <w:num w:numId="13">
    <w:abstractNumId w:val="1"/>
  </w:num>
  <w:num w:numId="14">
    <w:abstractNumId w:val="9"/>
  </w:num>
  <w:num w:numId="15">
    <w:abstractNumId w:val="5"/>
  </w:num>
  <w:num w:numId="16">
    <w:abstractNumId w:val="6"/>
  </w:num>
  <w:num w:numId="17">
    <w:abstractNumId w:val="8"/>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4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lassification" w:val="Document without cote"/>
    <w:docVar w:name="DocumentStyle" w:val="Standard OECD document"/>
    <w:docVar w:name="IsPublication" w:val="0"/>
    <w:docVar w:name="Language" w:val="English"/>
    <w:docVar w:name="PGLANDSCAPE" w:val="0"/>
  </w:docVars>
  <w:rsids>
    <w:rsidRoot w:val="008E4C23"/>
    <w:rsid w:val="00041D23"/>
    <w:rsid w:val="000F51CF"/>
    <w:rsid w:val="000F6040"/>
    <w:rsid w:val="00125645"/>
    <w:rsid w:val="00167A21"/>
    <w:rsid w:val="001D3FF5"/>
    <w:rsid w:val="002E7A14"/>
    <w:rsid w:val="0030014E"/>
    <w:rsid w:val="00332B51"/>
    <w:rsid w:val="00376CC1"/>
    <w:rsid w:val="00466445"/>
    <w:rsid w:val="004E5A8B"/>
    <w:rsid w:val="00505751"/>
    <w:rsid w:val="00520C89"/>
    <w:rsid w:val="00626BDB"/>
    <w:rsid w:val="007A69F9"/>
    <w:rsid w:val="00873231"/>
    <w:rsid w:val="008A5E4F"/>
    <w:rsid w:val="008B2E7D"/>
    <w:rsid w:val="008E4C23"/>
    <w:rsid w:val="0091520D"/>
    <w:rsid w:val="00923D9D"/>
    <w:rsid w:val="00A26046"/>
    <w:rsid w:val="00CC7731"/>
    <w:rsid w:val="00D60065"/>
    <w:rsid w:val="00D80772"/>
    <w:rsid w:val="00DA2884"/>
    <w:rsid w:val="00E77E20"/>
    <w:rsid w:val="00E8526E"/>
    <w:rsid w:val="00FC7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link w:val="Heading1Char"/>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link w:val="Heading3Char"/>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link w:val="BodyTextChar"/>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uiPriority w:val="99"/>
    <w:semiHidden/>
    <w:rPr>
      <w:vertAlign w:val="superscript"/>
    </w:rPr>
  </w:style>
  <w:style w:type="paragraph" w:styleId="FootnoteText">
    <w:name w:val="footnote text"/>
    <w:basedOn w:val="Normal"/>
    <w:link w:val="FootnoteTextChar"/>
    <w:uiPriority w:val="99"/>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character" w:customStyle="1" w:styleId="Heading1Char">
    <w:name w:val="Heading 1 Char"/>
    <w:basedOn w:val="DefaultParagraphFont"/>
    <w:link w:val="Heading1"/>
    <w:rsid w:val="008B2E7D"/>
    <w:rPr>
      <w:b/>
      <w:bCs/>
      <w:caps/>
      <w:kern w:val="28"/>
      <w:sz w:val="22"/>
      <w:szCs w:val="22"/>
      <w:lang w:val="en-GB" w:eastAsia="zh-CN"/>
    </w:rPr>
  </w:style>
  <w:style w:type="character" w:customStyle="1" w:styleId="Heading3Char">
    <w:name w:val="Heading 3 Char"/>
    <w:basedOn w:val="DefaultParagraphFont"/>
    <w:link w:val="Heading3"/>
    <w:rsid w:val="008B2E7D"/>
    <w:rPr>
      <w:b/>
      <w:bCs/>
      <w:i/>
      <w:iCs/>
      <w:sz w:val="22"/>
      <w:szCs w:val="22"/>
      <w:lang w:val="en-GB" w:eastAsia="zh-CN"/>
    </w:rPr>
  </w:style>
  <w:style w:type="character" w:customStyle="1" w:styleId="BodyTextChar">
    <w:name w:val="Body Text Char"/>
    <w:basedOn w:val="DefaultParagraphFont"/>
    <w:link w:val="BodyText"/>
    <w:rsid w:val="008B2E7D"/>
    <w:rPr>
      <w:sz w:val="22"/>
      <w:szCs w:val="22"/>
      <w:lang w:val="en-GB" w:eastAsia="zh-CN"/>
    </w:rPr>
  </w:style>
  <w:style w:type="character" w:styleId="Hyperlink">
    <w:name w:val="Hyperlink"/>
    <w:basedOn w:val="DefaultParagraphFont"/>
    <w:uiPriority w:val="99"/>
    <w:semiHidden/>
    <w:unhideWhenUsed/>
    <w:rsid w:val="008B2E7D"/>
    <w:rPr>
      <w:color w:val="0000FF"/>
      <w:u w:val="single"/>
    </w:rPr>
  </w:style>
  <w:style w:type="character" w:customStyle="1" w:styleId="FootnoteTextChar">
    <w:name w:val="Footnote Text Char"/>
    <w:basedOn w:val="DefaultParagraphFont"/>
    <w:link w:val="FootnoteText"/>
    <w:uiPriority w:val="99"/>
    <w:semiHidden/>
    <w:rsid w:val="008B2E7D"/>
    <w:rPr>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link w:val="Heading1Char"/>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link w:val="Heading3Char"/>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link w:val="BodyTextChar"/>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uiPriority w:val="99"/>
    <w:semiHidden/>
    <w:rPr>
      <w:vertAlign w:val="superscript"/>
    </w:rPr>
  </w:style>
  <w:style w:type="paragraph" w:styleId="FootnoteText">
    <w:name w:val="footnote text"/>
    <w:basedOn w:val="Normal"/>
    <w:link w:val="FootnoteTextChar"/>
    <w:uiPriority w:val="99"/>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character" w:customStyle="1" w:styleId="Heading1Char">
    <w:name w:val="Heading 1 Char"/>
    <w:basedOn w:val="DefaultParagraphFont"/>
    <w:link w:val="Heading1"/>
    <w:rsid w:val="008B2E7D"/>
    <w:rPr>
      <w:b/>
      <w:bCs/>
      <w:caps/>
      <w:kern w:val="28"/>
      <w:sz w:val="22"/>
      <w:szCs w:val="22"/>
      <w:lang w:val="en-GB" w:eastAsia="zh-CN"/>
    </w:rPr>
  </w:style>
  <w:style w:type="character" w:customStyle="1" w:styleId="Heading3Char">
    <w:name w:val="Heading 3 Char"/>
    <w:basedOn w:val="DefaultParagraphFont"/>
    <w:link w:val="Heading3"/>
    <w:rsid w:val="008B2E7D"/>
    <w:rPr>
      <w:b/>
      <w:bCs/>
      <w:i/>
      <w:iCs/>
      <w:sz w:val="22"/>
      <w:szCs w:val="22"/>
      <w:lang w:val="en-GB" w:eastAsia="zh-CN"/>
    </w:rPr>
  </w:style>
  <w:style w:type="character" w:customStyle="1" w:styleId="BodyTextChar">
    <w:name w:val="Body Text Char"/>
    <w:basedOn w:val="DefaultParagraphFont"/>
    <w:link w:val="BodyText"/>
    <w:rsid w:val="008B2E7D"/>
    <w:rPr>
      <w:sz w:val="22"/>
      <w:szCs w:val="22"/>
      <w:lang w:val="en-GB" w:eastAsia="zh-CN"/>
    </w:rPr>
  </w:style>
  <w:style w:type="character" w:styleId="Hyperlink">
    <w:name w:val="Hyperlink"/>
    <w:basedOn w:val="DefaultParagraphFont"/>
    <w:uiPriority w:val="99"/>
    <w:semiHidden/>
    <w:unhideWhenUsed/>
    <w:rsid w:val="008B2E7D"/>
    <w:rPr>
      <w:color w:val="0000FF"/>
      <w:u w:val="single"/>
    </w:rPr>
  </w:style>
  <w:style w:type="character" w:customStyle="1" w:styleId="FootnoteTextChar">
    <w:name w:val="Footnote Text Char"/>
    <w:basedOn w:val="DefaultParagraphFont"/>
    <w:link w:val="FootnoteText"/>
    <w:uiPriority w:val="99"/>
    <w:semiHidden/>
    <w:rsid w:val="008B2E7D"/>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35425">
      <w:bodyDiv w:val="1"/>
      <w:marLeft w:val="0"/>
      <w:marRight w:val="0"/>
      <w:marTop w:val="0"/>
      <w:marBottom w:val="0"/>
      <w:divBdr>
        <w:top w:val="none" w:sz="0" w:space="0" w:color="auto"/>
        <w:left w:val="none" w:sz="0" w:space="0" w:color="auto"/>
        <w:bottom w:val="none" w:sz="0" w:space="0" w:color="auto"/>
        <w:right w:val="none" w:sz="0" w:space="0" w:color="auto"/>
      </w:divBdr>
    </w:div>
    <w:div w:id="253172868">
      <w:bodyDiv w:val="1"/>
      <w:marLeft w:val="0"/>
      <w:marRight w:val="0"/>
      <w:marTop w:val="0"/>
      <w:marBottom w:val="0"/>
      <w:divBdr>
        <w:top w:val="none" w:sz="0" w:space="0" w:color="auto"/>
        <w:left w:val="none" w:sz="0" w:space="0" w:color="auto"/>
        <w:bottom w:val="none" w:sz="0" w:space="0" w:color="auto"/>
        <w:right w:val="none" w:sz="0" w:space="0" w:color="auto"/>
      </w:divBdr>
    </w:div>
    <w:div w:id="498467838">
      <w:bodyDiv w:val="1"/>
      <w:marLeft w:val="0"/>
      <w:marRight w:val="0"/>
      <w:marTop w:val="0"/>
      <w:marBottom w:val="0"/>
      <w:divBdr>
        <w:top w:val="none" w:sz="0" w:space="0" w:color="auto"/>
        <w:left w:val="none" w:sz="0" w:space="0" w:color="auto"/>
        <w:bottom w:val="none" w:sz="0" w:space="0" w:color="auto"/>
        <w:right w:val="none" w:sz="0" w:space="0" w:color="auto"/>
      </w:divBdr>
    </w:div>
    <w:div w:id="1250692800">
      <w:bodyDiv w:val="1"/>
      <w:marLeft w:val="0"/>
      <w:marRight w:val="0"/>
      <w:marTop w:val="0"/>
      <w:marBottom w:val="0"/>
      <w:divBdr>
        <w:top w:val="none" w:sz="0" w:space="0" w:color="auto"/>
        <w:left w:val="none" w:sz="0" w:space="0" w:color="auto"/>
        <w:bottom w:val="none" w:sz="0" w:space="0" w:color="auto"/>
        <w:right w:val="none" w:sz="0" w:space="0" w:color="auto"/>
      </w:divBdr>
    </w:div>
    <w:div w:id="2057393225">
      <w:bodyDiv w:val="1"/>
      <w:marLeft w:val="0"/>
      <w:marRight w:val="0"/>
      <w:marTop w:val="0"/>
      <w:marBottom w:val="0"/>
      <w:divBdr>
        <w:top w:val="none" w:sz="0" w:space="0" w:color="auto"/>
        <w:left w:val="none" w:sz="0" w:space="0" w:color="auto"/>
        <w:bottom w:val="none" w:sz="0" w:space="0" w:color="auto"/>
        <w:right w:val="none" w:sz="0" w:space="0" w:color="auto"/>
      </w:divBdr>
    </w:div>
    <w:div w:id="209828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x.doi.org/10.1787/5jxrb7rkxf21-en" TargetMode="External"/><Relationship Id="rId18" Type="http://schemas.openxmlformats.org/officeDocument/2006/relationships/hyperlink" Target="http://www.oecd.org/dac/stats/purposecodessectorclassification.htm" TargetMode="External"/><Relationship Id="rId26" Type="http://schemas.openxmlformats.org/officeDocument/2006/relationships/hyperlink" Target="http://www.oecd.org/investment/stats/37461060.pdf" TargetMode="External"/><Relationship Id="rId3" Type="http://schemas.openxmlformats.org/officeDocument/2006/relationships/styles" Target="styles.xml"/><Relationship Id="rId21" Type="http://schemas.openxmlformats.org/officeDocument/2006/relationships/hyperlink" Target="http://www.oecd.org/dac/stats/documentupload/Statistics%20presented%20in%20this%20note%20relate%20to%20Official%20Development%20Assistance%20ODA%20and%20concessional%20multilateral%20flows%20for%20the%20health%20sector.pdf" TargetMode="External"/><Relationship Id="rId7" Type="http://schemas.openxmlformats.org/officeDocument/2006/relationships/footnotes" Target="footnotes.xml"/><Relationship Id="rId12" Type="http://schemas.openxmlformats.org/officeDocument/2006/relationships/hyperlink" Target="http://www.oecd.org/els/health-at-a-glance-europe-23056088.htm" TargetMode="External"/><Relationship Id="rId17" Type="http://schemas.openxmlformats.org/officeDocument/2006/relationships/hyperlink" Target="http://www.oecd.org/dac/dac-glossary.htm" TargetMode="External"/><Relationship Id="rId25" Type="http://schemas.openxmlformats.org/officeDocument/2006/relationships/hyperlink" Target="http://www.oecd.org/dac/stats/data.ht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uro.who.int/__data/assets/pdf_file/0006/189051/Healtheffects-of-particulate-matter-final-Eng.pdf" TargetMode="External"/><Relationship Id="rId20" Type="http://schemas.openxmlformats.org/officeDocument/2006/relationships/hyperlink" Target="http://www.oecd.org/investment/stats/37461060.pdf"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ecd.org/els/health-systems/health-at-a-glance.htm" TargetMode="External"/><Relationship Id="rId24" Type="http://schemas.openxmlformats.org/officeDocument/2006/relationships/hyperlink" Target="http://www.oecd.org/dac/stats/purposecodessectorclassification.htm"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euro.who.int/en/data-and-evidence/environment-and-health-information-system-enhis" TargetMode="External"/><Relationship Id="rId23" Type="http://schemas.openxmlformats.org/officeDocument/2006/relationships/hyperlink" Target="http://www.oecd.org/dac/dac-glossary.htm" TargetMode="External"/><Relationship Id="rId28" Type="http://schemas.openxmlformats.org/officeDocument/2006/relationships/hyperlink" Target="http://www.healthdata.org/sites/default/files/files/policy_report/2014/FGH2013/IHME_FGH2013_Full_Report.pdf" TargetMode="External"/><Relationship Id="rId10" Type="http://schemas.openxmlformats.org/officeDocument/2006/relationships/hyperlink" Target="http://www.oecd.org/els/health-systems/health-data.htm" TargetMode="External"/><Relationship Id="rId19" Type="http://schemas.openxmlformats.org/officeDocument/2006/relationships/hyperlink" Target="http://www.oecd.org/dac/stats/data.htm"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internationaltransportforum.org/irtadpublic/pdf/Road-Casualties-Web.pdf" TargetMode="External"/><Relationship Id="rId14" Type="http://schemas.openxmlformats.org/officeDocument/2006/relationships/hyperlink" Target="http://www.who.int/phe/health_topics/outdoorair/databases/cities/en/" TargetMode="External"/><Relationship Id="rId22" Type="http://schemas.openxmlformats.org/officeDocument/2006/relationships/hyperlink" Target="http://www.healthdata.org/sites/default/files/files/policy_report/2014/FGH2013/IHME_FGH2013_Full_Report.pdf" TargetMode="External"/><Relationship Id="rId27" Type="http://schemas.openxmlformats.org/officeDocument/2006/relationships/hyperlink" Target="http://www.oecd.org/dac/stats/documentupload/Statistics%20presented%20in%20this%20note%20relate%20to%20Official%20Development%20Assistance%20ODA%20and%20concessional%20multilateral%20flows%20for%20the%20health%20sector.pdf"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OECDHarvard.XSL" StyleName="OECD Harvard"/>
</file>

<file path=customXml/itemProps1.xml><?xml version="1.0" encoding="utf-8"?>
<ds:datastoreItem xmlns:ds="http://schemas.openxmlformats.org/officeDocument/2006/customXml" ds:itemID="{3A175EDA-2BF0-4ECF-8438-ABE82468A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4303</Words>
  <Characters>24531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O.E.C.D.</Company>
  <LinksUpToDate>false</LinksUpToDate>
  <CharactersWithSpaces>28777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MIRA DERCOLE Marco</dc:creator>
  <cp:lastModifiedBy>Benjamin Rae</cp:lastModifiedBy>
  <cp:revision>2</cp:revision>
  <dcterms:created xsi:type="dcterms:W3CDTF">2015-05-20T16:13:00Z</dcterms:created>
  <dcterms:modified xsi:type="dcterms:W3CDTF">2015-05-20T16:13:00Z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jor Version">
    <vt:lpwstr>1</vt:lpwstr>
  </property>
  <property fmtid="{D5CDD505-2E9C-101B-9397-08002B2CF9AE}" pid="3" name="Minor Version">
    <vt:lpwstr>0</vt:lpwstr>
  </property>
  <property fmtid="{D5CDD505-2E9C-101B-9397-08002B2CF9AE}" pid="4" name="Build">
    <vt:lpwstr>20110530-001</vt:lpwstr>
  </property>
</Properties>
</file>